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1002" w:hRule="exact" w:hSpace="181" w:vSpace="181" w:wrap="around" w:hAnchor="page" w:x="1305" w:y="2269"/>
        <w:rPr>
          <w:rFonts w:ascii="黑体" w:hAnsi="黑体" w:eastAsia="黑体"/>
          <w:b w:val="0"/>
          <w:bCs w:val="0"/>
          <w:w w:val="100"/>
          <w:sz w:val="84"/>
          <w:szCs w:val="84"/>
        </w:rPr>
      </w:pPr>
      <w:bookmarkStart w:id="3"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3"/>
    <w:p>
      <w:pPr>
        <w:pStyle w:val="196"/>
        <w:framePr w:x="1436" w:y="340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7"/>
        <w:framePr w:x="1436" w:y="340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预制菜 潮汕卤鹅电商销售服务规范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20"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本文件由××××提出。</w:t>
      </w:r>
    </w:p>
    <w:p>
      <w:pPr>
        <w:pStyle w:val="57"/>
        <w:ind w:firstLine="420"/>
      </w:pPr>
      <w:r>
        <w:rPr>
          <w:rFonts w:hint="eastAsia"/>
        </w:rPr>
        <w:t>本文件由××××归口。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A69455E698334B4D8A58DC55621A968E"/>
        </w:placeholder>
      </w:sdtPr>
      <w:sdtContent>
        <w:p>
          <w:pPr>
            <w:pStyle w:val="178"/>
            <w:spacing w:before="2" w:beforeLines="1" w:after="528" w:afterLines="220"/>
          </w:pPr>
          <w:bookmarkStart w:id="22" w:name="NEW_STAND_NAME"/>
          <w:r>
            <w:rPr>
              <w:rFonts w:hint="eastAsia"/>
            </w:rPr>
            <w:t>预制菜</w:t>
          </w:r>
          <w:r>
            <w:t xml:space="preserve"> 潮汕卤鹅电商销售服务规范</w:t>
          </w:r>
        </w:p>
      </w:sdtContent>
    </w:sdt>
    <w:bookmarkEnd w:id="22"/>
    <w:p>
      <w:pPr>
        <w:pStyle w:val="105"/>
        <w:spacing w:before="240" w:after="240"/>
      </w:pPr>
      <w:bookmarkStart w:id="23" w:name="_Toc24884218"/>
      <w:bookmarkStart w:id="24" w:name="_Toc17233325"/>
      <w:bookmarkStart w:id="25" w:name="_Toc97192964"/>
      <w:bookmarkStart w:id="26" w:name="_Toc26986771"/>
      <w:bookmarkStart w:id="27" w:name="_Toc26648465"/>
      <w:bookmarkStart w:id="28" w:name="_Toc26986530"/>
      <w:bookmarkStart w:id="29" w:name="_Toc17233333"/>
      <w:bookmarkStart w:id="30" w:name="_Toc24884211"/>
      <w:bookmarkStart w:id="31" w:name="_Toc26718930"/>
      <w:r>
        <w:rPr>
          <w:rFonts w:hint="eastAsia"/>
        </w:rPr>
        <w:t>范围</w:t>
      </w:r>
      <w:bookmarkEnd w:id="23"/>
      <w:bookmarkEnd w:id="24"/>
      <w:bookmarkEnd w:id="25"/>
      <w:bookmarkEnd w:id="26"/>
      <w:bookmarkEnd w:id="27"/>
      <w:bookmarkEnd w:id="28"/>
      <w:bookmarkEnd w:id="29"/>
      <w:bookmarkEnd w:id="30"/>
      <w:bookmarkEnd w:id="31"/>
    </w:p>
    <w:p>
      <w:pPr>
        <w:pStyle w:val="57"/>
        <w:ind w:firstLine="420"/>
      </w:pPr>
      <w:bookmarkStart w:id="32" w:name="_Toc24884212"/>
      <w:bookmarkStart w:id="33" w:name="_Toc24884219"/>
      <w:bookmarkStart w:id="34" w:name="_Toc26648466"/>
      <w:bookmarkStart w:id="35" w:name="_Toc17233326"/>
      <w:bookmarkStart w:id="36" w:name="_Toc17233334"/>
      <w:r>
        <w:rPr>
          <w:rFonts w:hint="eastAsia"/>
        </w:rPr>
        <w:t>本文件规定了潮汕卤鹅预制菜产品电商销售服务的基本要求、网上交易服务、售后服务及产品管理。</w:t>
      </w:r>
    </w:p>
    <w:p>
      <w:pPr>
        <w:pStyle w:val="57"/>
        <w:ind w:firstLine="420"/>
      </w:pPr>
      <w:r>
        <w:rPr>
          <w:rFonts w:hint="eastAsia"/>
        </w:rPr>
        <w:t>本文件适用于潮汕卤鹅预制菜产品的电商销售服务工作。</w:t>
      </w:r>
    </w:p>
    <w:p>
      <w:pPr>
        <w:pStyle w:val="105"/>
        <w:spacing w:before="240" w:after="240"/>
      </w:pPr>
      <w:bookmarkStart w:id="37" w:name="_Toc97192965"/>
      <w:bookmarkStart w:id="38" w:name="_Toc26986531"/>
      <w:bookmarkStart w:id="39" w:name="_Toc26718931"/>
      <w:bookmarkStart w:id="40" w:name="_Toc2698677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5318A234B614765B48D491C896F7F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18811  电子商务基本术语</w:t>
      </w:r>
    </w:p>
    <w:p>
      <w:pPr>
        <w:pStyle w:val="57"/>
        <w:ind w:firstLine="420"/>
      </w:pPr>
      <w:r>
        <w:rPr>
          <w:rFonts w:hint="eastAsia"/>
        </w:rPr>
        <w:t>GB/T 22258  防伪标识通用技术条件</w:t>
      </w:r>
    </w:p>
    <w:p>
      <w:pPr>
        <w:pStyle w:val="57"/>
        <w:ind w:firstLine="420"/>
      </w:pPr>
      <w:r>
        <w:rPr>
          <w:rFonts w:hint="eastAsia"/>
        </w:rPr>
        <w:t>GB/T 28577  冷链物流分类与基本要求</w:t>
      </w:r>
    </w:p>
    <w:p>
      <w:pPr>
        <w:pStyle w:val="57"/>
        <w:ind w:firstLine="420"/>
      </w:pPr>
      <w:r>
        <w:rPr>
          <w:rFonts w:hint="eastAsia"/>
        </w:rPr>
        <w:t>GB/T 31524  电子商务平台运营与技术规范</w:t>
      </w:r>
    </w:p>
    <w:p>
      <w:pPr>
        <w:pStyle w:val="57"/>
        <w:ind w:firstLine="420"/>
      </w:pPr>
      <w:r>
        <w:rPr>
          <w:rFonts w:hint="eastAsia"/>
        </w:rPr>
        <w:t>GB/T 31526  电子商务平台服务质量评价与等级划分</w:t>
      </w:r>
    </w:p>
    <w:p>
      <w:pPr>
        <w:pStyle w:val="57"/>
        <w:ind w:firstLine="420"/>
      </w:pPr>
      <w:r>
        <w:rPr>
          <w:rFonts w:hint="eastAsia"/>
        </w:rPr>
        <w:t>GB/T 31782  电子商务可信交易要求</w:t>
      </w:r>
    </w:p>
    <w:p>
      <w:pPr>
        <w:pStyle w:val="57"/>
        <w:ind w:firstLine="420"/>
      </w:pPr>
      <w:r>
        <w:rPr>
          <w:rFonts w:hint="eastAsia"/>
        </w:rPr>
        <w:t>GB/T 32703  预包装类电子商务交易产品质量信息发布通则</w:t>
      </w:r>
    </w:p>
    <w:p>
      <w:pPr>
        <w:pStyle w:val="57"/>
        <w:ind w:firstLine="420"/>
      </w:pPr>
      <w:r>
        <w:rPr>
          <w:rFonts w:hint="eastAsia"/>
        </w:rPr>
        <w:t>GB/T 32873  电子商务主体基本信息规范</w:t>
      </w:r>
    </w:p>
    <w:p>
      <w:pPr>
        <w:pStyle w:val="57"/>
        <w:ind w:firstLine="420"/>
      </w:pPr>
      <w:r>
        <w:rPr>
          <w:rFonts w:hint="eastAsia"/>
        </w:rPr>
        <w:t>GB/T 33992  电子商务产品质量信息规范</w:t>
      </w:r>
    </w:p>
    <w:p>
      <w:pPr>
        <w:pStyle w:val="57"/>
        <w:ind w:firstLine="420"/>
      </w:pPr>
      <w:r>
        <w:rPr>
          <w:rFonts w:hint="eastAsia"/>
        </w:rPr>
        <w:t>GB/T 35408  电子商务质量管理 术语</w:t>
      </w:r>
    </w:p>
    <w:p>
      <w:pPr>
        <w:pStyle w:val="57"/>
        <w:ind w:firstLine="420"/>
      </w:pPr>
      <w:r>
        <w:rPr>
          <w:rFonts w:hint="eastAsia"/>
        </w:rPr>
        <w:t>GB/T 35409  电子商务平台商家入驻审核规范</w:t>
      </w:r>
    </w:p>
    <w:p>
      <w:pPr>
        <w:pStyle w:val="57"/>
        <w:ind w:firstLine="420"/>
      </w:pPr>
      <w:r>
        <w:rPr>
          <w:rFonts w:hint="eastAsia"/>
        </w:rPr>
        <w:t>GB/T 35411  电子商务平台产品信息展示要求</w:t>
      </w:r>
    </w:p>
    <w:p>
      <w:pPr>
        <w:pStyle w:val="57"/>
        <w:ind w:firstLine="420"/>
      </w:pPr>
      <w:r>
        <w:rPr>
          <w:rFonts w:hint="eastAsia"/>
        </w:rPr>
        <w:t>SB/T 10519  网络交易服务规范</w:t>
      </w:r>
    </w:p>
    <w:p>
      <w:pPr>
        <w:pStyle w:val="57"/>
        <w:ind w:firstLine="420"/>
      </w:pPr>
      <w:r>
        <w:rPr>
          <w:rFonts w:hint="eastAsia"/>
        </w:rPr>
        <w:t>SB/T 11132  电子商务物流服务规范</w:t>
      </w:r>
    </w:p>
    <w:p>
      <w:pPr>
        <w:pStyle w:val="105"/>
        <w:spacing w:before="240" w:after="240"/>
      </w:pPr>
      <w:bookmarkStart w:id="41" w:name="_Toc97192966"/>
      <w:r>
        <w:rPr>
          <w:rFonts w:hint="eastAsia"/>
          <w:szCs w:val="21"/>
        </w:rPr>
        <w:t>术语和定义</w:t>
      </w:r>
      <w:bookmarkEnd w:id="41"/>
    </w:p>
    <w:sdt>
      <w:sdtPr>
        <w:id w:val="-1909835108"/>
        <w:placeholder>
          <w:docPart w:val="1A6A6A961C3E4561A7EFA618A0FAA9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2" w:name="_Toc26986532"/>
          <w:bookmarkEnd w:id="42"/>
          <w:r>
            <w:rPr>
              <w:rFonts w:hint="eastAsia"/>
            </w:rPr>
            <w:t>GB/T 18811和GB/T 35408</w:t>
          </w:r>
          <w:r>
            <w:t>界定的术语和定义适用于本文件。</w:t>
          </w:r>
        </w:p>
      </w:sdtContent>
    </w:sdt>
    <w:p>
      <w:pPr>
        <w:pStyle w:val="105"/>
        <w:spacing w:before="240" w:after="240"/>
      </w:pPr>
      <w:r>
        <w:rPr>
          <w:rFonts w:hint="eastAsia"/>
        </w:rPr>
        <w:t>基本要求</w:t>
      </w:r>
    </w:p>
    <w:p>
      <w:pPr>
        <w:pStyle w:val="106"/>
        <w:spacing w:before="120" w:after="120"/>
      </w:pPr>
      <w:r>
        <w:t>销售商</w:t>
      </w:r>
    </w:p>
    <w:p>
      <w:pPr>
        <w:pStyle w:val="166"/>
      </w:pPr>
      <w:r>
        <w:rPr>
          <w:rFonts w:hint="eastAsia"/>
        </w:rPr>
        <w:t>应依法办理市场主体登记，取得食品经营许可或备案凭证。</w:t>
      </w:r>
    </w:p>
    <w:p>
      <w:pPr>
        <w:pStyle w:val="166"/>
      </w:pPr>
      <w:r>
        <w:rPr>
          <w:rFonts w:hint="eastAsia"/>
        </w:rPr>
        <w:t>电子商务平台销售商应符合GB/T 35409的规定。</w:t>
      </w:r>
    </w:p>
    <w:p>
      <w:pPr>
        <w:pStyle w:val="166"/>
      </w:pPr>
      <w:r>
        <w:rPr>
          <w:rFonts w:hint="eastAsia"/>
        </w:rPr>
        <w:t>涉及跨境电子商务活动的企业应符合相关规定。</w:t>
      </w:r>
    </w:p>
    <w:p>
      <w:pPr>
        <w:pStyle w:val="166"/>
      </w:pPr>
      <w:r>
        <w:rPr>
          <w:rFonts w:hint="eastAsia"/>
        </w:rPr>
        <w:t>提供退换货服务，公布退换货制度，内容包括产品退换货政策、退换货流程等。</w:t>
      </w:r>
    </w:p>
    <w:p>
      <w:pPr>
        <w:pStyle w:val="166"/>
      </w:pPr>
      <w:r>
        <w:rPr>
          <w:rFonts w:hint="eastAsia"/>
        </w:rPr>
        <w:t>消费者的注册和交易信息归产品网上交易服务商所有，仅能被用于与网上交易、网上支付以及交易辅助服务等相关的活动。未经消费者同意，不得向任何第三方披露、转让、使用或出售交易当事人名单、交易记录等涉及用户隐私或商业秘密的数据，法律、法规另有规定的除外。</w:t>
      </w:r>
    </w:p>
    <w:p>
      <w:pPr>
        <w:pStyle w:val="166"/>
      </w:pPr>
      <w:r>
        <w:rPr>
          <w:rFonts w:hint="eastAsia"/>
        </w:rPr>
        <w:t>应保存在其平台上发生的产品网上交易的相关信息、记录或资料，采取相应的技术手段保证上述资料的完整性、准确性和安全性，保存时间不得少于36个月，自交易完成之日起计算。</w:t>
      </w:r>
    </w:p>
    <w:p>
      <w:pPr>
        <w:pStyle w:val="106"/>
        <w:spacing w:before="120" w:after="120"/>
      </w:pPr>
      <w:r>
        <w:t>第三方平台</w:t>
      </w:r>
    </w:p>
    <w:p>
      <w:pPr>
        <w:pStyle w:val="166"/>
      </w:pPr>
      <w:r>
        <w:rPr>
          <w:rFonts w:hint="eastAsia"/>
        </w:rPr>
        <w:t>平台运营应符合GB/T 31524的规定。</w:t>
      </w:r>
    </w:p>
    <w:p>
      <w:pPr>
        <w:pStyle w:val="166"/>
      </w:pPr>
      <w:r>
        <w:rPr>
          <w:rFonts w:hint="eastAsia"/>
        </w:rPr>
        <w:t>平台服务质量评价应符合GB/T 31526的规定。</w:t>
      </w:r>
    </w:p>
    <w:p>
      <w:pPr>
        <w:pStyle w:val="166"/>
      </w:pPr>
      <w:r>
        <w:rPr>
          <w:rFonts w:hint="eastAsia"/>
        </w:rPr>
        <w:t>平台的可信交易应符合GB/T 31782的规定。</w:t>
      </w:r>
    </w:p>
    <w:p>
      <w:pPr>
        <w:pStyle w:val="106"/>
        <w:spacing w:before="120" w:after="120"/>
      </w:pPr>
      <w:r>
        <w:rPr>
          <w:rFonts w:hint="eastAsia"/>
        </w:rPr>
        <w:t>物流服务商</w:t>
      </w:r>
    </w:p>
    <w:p>
      <w:pPr>
        <w:pStyle w:val="166"/>
      </w:pPr>
      <w:r>
        <w:rPr>
          <w:rFonts w:hint="eastAsia"/>
        </w:rPr>
        <w:t>应依法取得相应的物流服务运营资质，并配备物流服务相关的技术和管理人员。</w:t>
      </w:r>
    </w:p>
    <w:p>
      <w:pPr>
        <w:pStyle w:val="166"/>
      </w:pPr>
      <w:r>
        <w:rPr>
          <w:rFonts w:hint="eastAsia"/>
        </w:rPr>
        <w:t>服务过程应符合SB/T 11132的规定；冷链配送应符合GB/T 28577的规定。</w:t>
      </w:r>
    </w:p>
    <w:p>
      <w:pPr>
        <w:pStyle w:val="105"/>
        <w:spacing w:before="240" w:after="240"/>
      </w:pPr>
      <w:r>
        <w:rPr>
          <w:rFonts w:hint="eastAsia"/>
        </w:rPr>
        <w:t>网上交易服务</w:t>
      </w:r>
    </w:p>
    <w:p>
      <w:pPr>
        <w:pStyle w:val="106"/>
        <w:spacing w:before="120" w:after="120"/>
      </w:pPr>
      <w:r>
        <w:rPr>
          <w:rFonts w:hint="eastAsia"/>
        </w:rPr>
        <w:t>信息发布</w:t>
      </w:r>
    </w:p>
    <w:p>
      <w:pPr>
        <w:pStyle w:val="166"/>
      </w:pPr>
      <w:r>
        <w:rPr>
          <w:rFonts w:hint="eastAsia"/>
        </w:rPr>
        <w:t>产品网上信息描述应真实并获得相关品牌或知识产权方的许可，并符合GB/T 32703、GB/T 32873、GB/T 33992和GB/T 35411的规定。</w:t>
      </w:r>
    </w:p>
    <w:p>
      <w:pPr>
        <w:pStyle w:val="166"/>
      </w:pPr>
      <w:r>
        <w:rPr>
          <w:rFonts w:hint="eastAsia"/>
        </w:rPr>
        <w:t>应对网站上所销售的产品实施明码标价，明示物流、退换货、退款等方面的服务要求。</w:t>
      </w:r>
    </w:p>
    <w:p>
      <w:pPr>
        <w:pStyle w:val="166"/>
      </w:pPr>
      <w:r>
        <w:rPr>
          <w:rFonts w:hint="eastAsia"/>
        </w:rPr>
        <w:t>应明示产品配送服务、食用方法和售后服务。</w:t>
      </w:r>
    </w:p>
    <w:p>
      <w:pPr>
        <w:pStyle w:val="166"/>
      </w:pPr>
      <w:r>
        <w:rPr>
          <w:rFonts w:hint="eastAsia"/>
        </w:rPr>
        <w:t>应当遵守诚实信用原则，确保所发布的产品及服务信息真实，与实际所销售的产品及提供的服务相符，并切实履行承诺。</w:t>
      </w:r>
    </w:p>
    <w:p>
      <w:pPr>
        <w:pStyle w:val="106"/>
        <w:spacing w:before="120" w:after="120"/>
      </w:pPr>
      <w:r>
        <w:rPr>
          <w:rFonts w:hint="eastAsia"/>
        </w:rPr>
        <w:t>接单</w:t>
      </w:r>
    </w:p>
    <w:p>
      <w:pPr>
        <w:pStyle w:val="166"/>
        <w:rPr>
          <w:rFonts w:ascii="黑体" w:eastAsia="黑体"/>
        </w:rPr>
      </w:pPr>
      <w:r>
        <w:rPr>
          <w:rFonts w:hint="eastAsia"/>
        </w:rPr>
        <w:t>接收到订单信息，应对及时对订单内容、产品信息和配送方式等内容进行复核，并确认反馈。</w:t>
      </w:r>
    </w:p>
    <w:p>
      <w:pPr>
        <w:pStyle w:val="166"/>
        <w:rPr>
          <w:rFonts w:ascii="黑体" w:eastAsia="黑体"/>
        </w:rPr>
      </w:pPr>
      <w:r>
        <w:rPr>
          <w:rFonts w:hint="eastAsia"/>
        </w:rPr>
        <w:t>及时更新系统订单的确认、审核、发货等处理状态。</w:t>
      </w:r>
    </w:p>
    <w:p>
      <w:pPr>
        <w:pStyle w:val="166"/>
      </w:pPr>
      <w:r>
        <w:rPr>
          <w:rFonts w:hint="eastAsia"/>
        </w:rPr>
        <w:t>消费者需要修改或取消订单信息时，应及时提供更正、取消订单；若产品已发货，应与消费者协商达成一致后，协助对物流进行拦截，并重新发货或取消订单。</w:t>
      </w:r>
    </w:p>
    <w:p>
      <w:pPr>
        <w:pStyle w:val="166"/>
        <w:rPr>
          <w:rFonts w:ascii="黑体" w:eastAsia="黑体"/>
        </w:rPr>
      </w:pPr>
      <w:r>
        <w:rPr>
          <w:rFonts w:hint="eastAsia"/>
        </w:rPr>
        <w:t>订单确认和服务响应时间应在显著位置显示。</w:t>
      </w:r>
    </w:p>
    <w:p>
      <w:pPr>
        <w:pStyle w:val="166"/>
      </w:pPr>
      <w:r>
        <w:rPr>
          <w:rFonts w:hint="eastAsia"/>
        </w:rPr>
        <w:t>产品订单应在承诺的时间内完成。</w:t>
      </w:r>
    </w:p>
    <w:p>
      <w:pPr>
        <w:pStyle w:val="106"/>
        <w:spacing w:before="120" w:after="120"/>
      </w:pPr>
      <w:r>
        <w:rPr>
          <w:rFonts w:hint="eastAsia"/>
        </w:rPr>
        <w:t>发货</w:t>
      </w:r>
    </w:p>
    <w:p>
      <w:pPr>
        <w:pStyle w:val="166"/>
      </w:pPr>
      <w:r>
        <w:rPr>
          <w:rFonts w:hint="eastAsia"/>
        </w:rPr>
        <w:t>应按订单内容对产品的数量、类型及收件地址等信息进行核对，并在承诺的时间内完成发货。</w:t>
      </w:r>
    </w:p>
    <w:p>
      <w:pPr>
        <w:pStyle w:val="166"/>
      </w:pPr>
      <w:r>
        <w:rPr>
          <w:rFonts w:hint="eastAsia"/>
        </w:rPr>
        <w:t>物流搬运和装车应尽量避免碰撞、乱丢乱掷，确保包装和产品完好，不得与有毒有害物品混运。</w:t>
      </w:r>
    </w:p>
    <w:p>
      <w:pPr>
        <w:pStyle w:val="166"/>
      </w:pPr>
      <w:r>
        <w:rPr>
          <w:rFonts w:hint="eastAsia"/>
        </w:rPr>
        <w:t>核对物流单据和凭证，并在电商平台及时公布和更新物流信息，提供物流查询方式和物流服务方的联系方式。</w:t>
      </w:r>
    </w:p>
    <w:p>
      <w:pPr>
        <w:pStyle w:val="166"/>
      </w:pPr>
      <w:r>
        <w:rPr>
          <w:rFonts w:hint="eastAsia"/>
        </w:rPr>
        <w:t>监督配送的过程，并跟进订单的配送进程。</w:t>
      </w:r>
    </w:p>
    <w:p>
      <w:pPr>
        <w:pStyle w:val="106"/>
        <w:spacing w:before="120" w:after="120"/>
      </w:pPr>
      <w:r>
        <w:rPr>
          <w:rFonts w:hint="eastAsia"/>
        </w:rPr>
        <w:t>收货</w:t>
      </w:r>
    </w:p>
    <w:p>
      <w:pPr>
        <w:pStyle w:val="166"/>
      </w:pPr>
      <w:r>
        <w:rPr>
          <w:rFonts w:hint="eastAsia"/>
        </w:rPr>
        <w:t>消费者可在10天内收货或拒收。</w:t>
      </w:r>
    </w:p>
    <w:p>
      <w:pPr>
        <w:pStyle w:val="166"/>
      </w:pPr>
      <w:r>
        <w:rPr>
          <w:rFonts w:hint="eastAsia"/>
        </w:rPr>
        <w:t>收件人可当场验货，并应在配送交接单据上签字或通过其他方式确认收货。</w:t>
      </w:r>
    </w:p>
    <w:p>
      <w:pPr>
        <w:pStyle w:val="166"/>
      </w:pPr>
      <w:r>
        <w:rPr>
          <w:rFonts w:hint="eastAsia"/>
        </w:rPr>
        <w:t>发生收件人拒收时应按照平台交易规则处理，并按照相关规定及时处理赔偿、退款等事宜。</w:t>
      </w:r>
    </w:p>
    <w:p>
      <w:pPr>
        <w:pStyle w:val="106"/>
        <w:spacing w:before="120" w:after="120"/>
      </w:pPr>
      <w:r>
        <w:rPr>
          <w:rFonts w:hint="eastAsia"/>
        </w:rPr>
        <w:t>客服咨询</w:t>
      </w:r>
    </w:p>
    <w:p>
      <w:pPr>
        <w:pStyle w:val="166"/>
        <w:rPr>
          <w:rFonts w:hint="eastAsia"/>
        </w:rPr>
      </w:pPr>
      <w:r>
        <w:rPr>
          <w:rFonts w:hint="eastAsia"/>
        </w:rPr>
        <w:t>应为消费者提供多种渠道的咨询服务，并应及时回复咨询。</w:t>
      </w:r>
    </w:p>
    <w:p>
      <w:pPr>
        <w:pStyle w:val="166"/>
        <w:rPr>
          <w:rFonts w:hint="eastAsia"/>
        </w:rPr>
      </w:pPr>
      <w:r>
        <w:rPr>
          <w:rFonts w:hint="eastAsia"/>
        </w:rPr>
        <w:t>客服人员应具备专业的知识和技能，熟悉产品信息和服务流程，提供可靠的建议和服务。</w:t>
      </w:r>
    </w:p>
    <w:p>
      <w:pPr>
        <w:pStyle w:val="166"/>
        <w:rPr>
          <w:rFonts w:hint="eastAsia"/>
        </w:rPr>
      </w:pPr>
      <w:r>
        <w:rPr>
          <w:rFonts w:hint="eastAsia"/>
        </w:rPr>
        <w:t>消费者下单后，客服人员应及时处理订单，确认订单信息的准确性；提供物流查询服务，若出现物流问题，应及时协助消费者处理。</w:t>
      </w:r>
    </w:p>
    <w:p>
      <w:pPr>
        <w:pStyle w:val="166"/>
        <w:rPr>
          <w:rFonts w:hint="eastAsia"/>
        </w:rPr>
      </w:pPr>
      <w:r>
        <w:rPr>
          <w:rFonts w:hint="eastAsia"/>
        </w:rPr>
        <w:t>处理疑难问题或升级投诉问题，对消费者所提出的意见进行反馈并跟踪处理结果。</w:t>
      </w:r>
    </w:p>
    <w:p>
      <w:pPr>
        <w:pStyle w:val="105"/>
        <w:spacing w:before="240" w:after="240"/>
      </w:pPr>
      <w:r>
        <w:rPr>
          <w:rFonts w:hint="eastAsia"/>
        </w:rPr>
        <w:t>售后服务</w:t>
      </w:r>
    </w:p>
    <w:p>
      <w:pPr>
        <w:pStyle w:val="106"/>
        <w:spacing w:before="120" w:after="120"/>
      </w:pPr>
      <w:r>
        <w:rPr>
          <w:rFonts w:hint="eastAsia"/>
        </w:rPr>
        <w:t>售后咨询</w:t>
      </w:r>
    </w:p>
    <w:p>
      <w:pPr>
        <w:pStyle w:val="166"/>
      </w:pPr>
      <w:r>
        <w:rPr>
          <w:rFonts w:hint="eastAsia"/>
        </w:rPr>
        <w:t>应为消费者提供售后咨询服务，解答消费者关于产品售后的物流、退换货、退款等方面的疑问。</w:t>
      </w:r>
    </w:p>
    <w:p>
      <w:pPr>
        <w:pStyle w:val="166"/>
      </w:pPr>
      <w:r>
        <w:rPr>
          <w:rFonts w:hint="eastAsia"/>
        </w:rPr>
        <w:t>对于能够直接给予答复的售后咨询，应直接告知消费者真实明确的咨询结果。</w:t>
      </w:r>
    </w:p>
    <w:p>
      <w:pPr>
        <w:pStyle w:val="166"/>
      </w:pPr>
      <w:r>
        <w:rPr>
          <w:rFonts w:hint="eastAsia"/>
        </w:rPr>
        <w:t>对于需要进一步处理的售后咨询，如退换货、退款等，应及时处理或转交至相关部门，并对处理结果进行跟踪，必要时主动与消费者协商。</w:t>
      </w:r>
    </w:p>
    <w:p>
      <w:pPr>
        <w:pStyle w:val="106"/>
        <w:spacing w:before="120" w:after="120"/>
      </w:pPr>
      <w:r>
        <w:rPr>
          <w:rFonts w:hint="eastAsia"/>
        </w:rPr>
        <w:t>退换货</w:t>
      </w:r>
    </w:p>
    <w:p>
      <w:pPr>
        <w:pStyle w:val="66"/>
        <w:spacing w:before="120" w:after="120"/>
      </w:pPr>
      <w:r>
        <w:rPr>
          <w:rFonts w:hint="eastAsia"/>
        </w:rPr>
        <w:t>质量问题</w:t>
      </w:r>
    </w:p>
    <w:p>
      <w:pPr>
        <w:pStyle w:val="165"/>
      </w:pPr>
      <w:r>
        <w:rPr>
          <w:rFonts w:hint="eastAsia"/>
        </w:rPr>
        <w:t>销售的产品在保质期内发现质量问题，经确认不是消费者原因造成的，应允许消费者退换货，并由销售商承担运费。</w:t>
      </w:r>
    </w:p>
    <w:p>
      <w:pPr>
        <w:pStyle w:val="165"/>
      </w:pPr>
      <w:r>
        <w:rPr>
          <w:rFonts w:hint="eastAsia"/>
        </w:rPr>
        <w:t>经和消费者确认不宜退换货的产品，出现质量问题时，应明示售后处理方式，并与消费者达成一致。</w:t>
      </w:r>
    </w:p>
    <w:p>
      <w:pPr>
        <w:pStyle w:val="66"/>
        <w:spacing w:before="120" w:after="120"/>
      </w:pPr>
      <w:r>
        <w:rPr>
          <w:rFonts w:hint="eastAsia"/>
        </w:rPr>
        <w:t>非质量问题</w:t>
      </w:r>
    </w:p>
    <w:p>
      <w:pPr>
        <w:pStyle w:val="165"/>
        <w:rPr>
          <w:rFonts w:ascii="黑体" w:eastAsia="黑体"/>
        </w:rPr>
      </w:pPr>
      <w:r>
        <w:rPr>
          <w:rFonts w:hint="eastAsia"/>
        </w:rPr>
        <w:t>产品在运输过程中造成的损坏、遗失等问题并经核查情况属实，应允许消费者自收到之日起7内退换货，并由销售商承担运费。</w:t>
      </w:r>
    </w:p>
    <w:p>
      <w:pPr>
        <w:pStyle w:val="165"/>
        <w:rPr>
          <w:rFonts w:ascii="黑体" w:eastAsia="黑体"/>
        </w:rPr>
      </w:pPr>
      <w:r>
        <w:rPr>
          <w:rFonts w:hint="eastAsia"/>
        </w:rPr>
        <w:t>消费者自提产品在运输过程中造成的损坏、遗失等问题，应协助消费者与物流服务商共同确定责任主体和相应赔偿。</w:t>
      </w:r>
    </w:p>
    <w:p>
      <w:pPr>
        <w:pStyle w:val="165"/>
        <w:rPr>
          <w:rFonts w:ascii="黑体" w:eastAsia="黑体"/>
        </w:rPr>
      </w:pPr>
      <w:r>
        <w:rPr>
          <w:rFonts w:hint="eastAsia"/>
        </w:rPr>
        <w:t>消费者收到的产品存在数量、包装或类型不符合等问题并经售后人员核查情况属实，销售商应补发并承担运费。</w:t>
      </w:r>
    </w:p>
    <w:p>
      <w:pPr>
        <w:pStyle w:val="165"/>
        <w:rPr>
          <w:rFonts w:ascii="黑体" w:eastAsia="黑体"/>
        </w:rPr>
      </w:pPr>
      <w:r>
        <w:rPr>
          <w:rFonts w:hint="eastAsia"/>
        </w:rPr>
        <w:t>消费者收到的产品与网站描述不符并经核查情况属实，应允许消费者自收到产品之日起7日内退换货或补发，并由销售商承担运费。</w:t>
      </w:r>
    </w:p>
    <w:p>
      <w:pPr>
        <w:pStyle w:val="165"/>
      </w:pPr>
      <w:r>
        <w:rPr>
          <w:rFonts w:hint="eastAsia"/>
        </w:rPr>
        <w:t>发生错发、漏发等问题时，销售商应为消费者免费提供产品调换、补发或退款等服务。</w:t>
      </w:r>
    </w:p>
    <w:p>
      <w:pPr>
        <w:pStyle w:val="66"/>
        <w:spacing w:before="120" w:after="120"/>
      </w:pPr>
      <w:r>
        <w:rPr>
          <w:rFonts w:hint="eastAsia"/>
        </w:rPr>
        <w:t>无理由退换货</w:t>
      </w:r>
    </w:p>
    <w:p>
      <w:pPr>
        <w:pStyle w:val="165"/>
      </w:pPr>
      <w:r>
        <w:rPr>
          <w:rFonts w:hint="eastAsia"/>
        </w:rPr>
        <w:t>应明示无理由退货要求，根据产品性质并经消费者在购买时确认不宜退货，可不提供无理由退货服务。</w:t>
      </w:r>
    </w:p>
    <w:p>
      <w:pPr>
        <w:pStyle w:val="165"/>
      </w:pPr>
      <w:r>
        <w:rPr>
          <w:rFonts w:hint="eastAsia"/>
        </w:rPr>
        <w:t>对于适用无理由退货要求的产品，销售商应在时限内为消费者提供无理由退货服务。</w:t>
      </w:r>
    </w:p>
    <w:p>
      <w:pPr>
        <w:pStyle w:val="165"/>
      </w:pPr>
      <w:r>
        <w:rPr>
          <w:rFonts w:hint="eastAsia"/>
        </w:rPr>
        <w:t>促销活动期间，应取得消费者同意后，可适当顺延退货处理时限，但应明示具体处理时限。</w:t>
      </w:r>
    </w:p>
    <w:p>
      <w:pPr>
        <w:pStyle w:val="106"/>
        <w:spacing w:before="120" w:after="120"/>
      </w:pPr>
      <w:r>
        <w:rPr>
          <w:rFonts w:hint="eastAsia"/>
        </w:rPr>
        <w:t xml:space="preserve"> 退款服务</w:t>
      </w:r>
    </w:p>
    <w:p>
      <w:pPr>
        <w:pStyle w:val="66"/>
        <w:spacing w:before="120" w:after="120"/>
      </w:pPr>
      <w:r>
        <w:t>退款方式</w:t>
      </w:r>
    </w:p>
    <w:p>
      <w:pPr>
        <w:pStyle w:val="57"/>
        <w:ind w:firstLine="420"/>
      </w:pPr>
      <w:r>
        <w:rPr>
          <w:rFonts w:hint="eastAsia"/>
        </w:rPr>
        <w:t>退款应按照原支付路径退还给消费者，若不能按原支付路径退回，销售商应明示退款方式。</w:t>
      </w:r>
    </w:p>
    <w:p>
      <w:pPr>
        <w:pStyle w:val="66"/>
        <w:spacing w:before="120" w:after="120"/>
      </w:pPr>
      <w:r>
        <w:t>退款时限</w:t>
      </w:r>
    </w:p>
    <w:p>
      <w:pPr>
        <w:pStyle w:val="165"/>
      </w:pPr>
      <w:r>
        <w:rPr>
          <w:rFonts w:hint="eastAsia"/>
        </w:rPr>
        <w:t>无退货的退款，销售商应在退款协定达成后</w:t>
      </w:r>
      <w:r>
        <w:rPr>
          <w:rFonts w:hint="eastAsia"/>
          <w:lang w:val="en-US" w:eastAsia="zh-CN"/>
        </w:rPr>
        <w:t>在规定时限</w:t>
      </w:r>
      <w:r>
        <w:rPr>
          <w:rFonts w:hint="eastAsia"/>
        </w:rPr>
        <w:t>内处理退款。</w:t>
      </w:r>
    </w:p>
    <w:p>
      <w:pPr>
        <w:pStyle w:val="165"/>
      </w:pPr>
      <w:r>
        <w:rPr>
          <w:rFonts w:hint="eastAsia"/>
        </w:rPr>
        <w:t>有退货的退款，应在收到退货后</w:t>
      </w:r>
      <w:r>
        <w:rPr>
          <w:rFonts w:hint="eastAsia"/>
          <w:lang w:val="en-US" w:eastAsia="zh-CN"/>
        </w:rPr>
        <w:t>在规定时限</w:t>
      </w:r>
      <w:r>
        <w:rPr>
          <w:rFonts w:hint="eastAsia"/>
        </w:rPr>
        <w:t>内处理退款。</w:t>
      </w:r>
    </w:p>
    <w:p>
      <w:pPr>
        <w:pStyle w:val="165"/>
      </w:pPr>
      <w:r>
        <w:rPr>
          <w:rFonts w:hint="eastAsia"/>
        </w:rPr>
        <w:t>促销活动期间，应取得消费者同意后，可适当顺延退款处理时限，但应明示具体</w:t>
      </w:r>
      <w:bookmarkStart w:id="44" w:name="_GoBack"/>
      <w:bookmarkEnd w:id="44"/>
      <w:r>
        <w:rPr>
          <w:rFonts w:hint="eastAsia"/>
        </w:rPr>
        <w:t>退款时限。</w:t>
      </w:r>
    </w:p>
    <w:p>
      <w:pPr>
        <w:pStyle w:val="105"/>
        <w:spacing w:before="240" w:after="240"/>
      </w:pPr>
      <w:r>
        <w:t>产品管理</w:t>
      </w:r>
    </w:p>
    <w:p>
      <w:pPr>
        <w:pStyle w:val="106"/>
        <w:spacing w:before="120" w:after="120"/>
      </w:pPr>
      <w:r>
        <w:t>进货验收</w:t>
      </w:r>
    </w:p>
    <w:p>
      <w:pPr>
        <w:pStyle w:val="166"/>
      </w:pPr>
      <w:r>
        <w:rPr>
          <w:rFonts w:hint="eastAsia"/>
        </w:rPr>
        <w:t>应对产品外观、色泽和组织形态等感官要求进行检查；必要时应进行理化检验。</w:t>
      </w:r>
    </w:p>
    <w:p>
      <w:pPr>
        <w:pStyle w:val="166"/>
      </w:pPr>
      <w:r>
        <w:rPr>
          <w:rFonts w:hint="eastAsia"/>
        </w:rPr>
        <w:t>进货应有进货台账记录，详细记录供应方名称、联系人、联系方式、进货时间、车（船）号码、产品名称、数量、产地、生产日期、质量等信息。</w:t>
      </w:r>
    </w:p>
    <w:p>
      <w:pPr>
        <w:pStyle w:val="106"/>
        <w:spacing w:before="120" w:after="120"/>
      </w:pPr>
      <w:r>
        <w:rPr>
          <w:rFonts w:hint="eastAsia"/>
        </w:rPr>
        <w:t>储存、运输、销售温度控制</w:t>
      </w:r>
    </w:p>
    <w:p>
      <w:pPr>
        <w:pStyle w:val="57"/>
        <w:ind w:firstLine="420"/>
      </w:pPr>
      <w:r>
        <w:rPr>
          <w:rFonts w:hint="eastAsia" w:hAnsi="宋体"/>
        </w:rPr>
        <w:t>产品在储存、运输、销售环节的温度控制要求和在规定温度条件下推荐的储存时间见表1。</w:t>
      </w:r>
    </w:p>
    <w:p>
      <w:pPr>
        <w:pStyle w:val="113"/>
        <w:numPr>
          <w:ilvl w:val="0"/>
          <w:numId w:val="32"/>
        </w:numPr>
        <w:tabs>
          <w:tab w:val="clear" w:pos="0"/>
        </w:tabs>
        <w:spacing w:before="120" w:after="120"/>
      </w:pPr>
      <w:r>
        <w:rPr>
          <w:rFonts w:hint="eastAsia" w:hAnsi="黑体"/>
        </w:rPr>
        <w:t>产品储存、运输、销售温度控制要求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891"/>
        <w:gridCol w:w="2246"/>
        <w:gridCol w:w="203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1333" w:type="dxa"/>
            <w:vMerge w:val="restart"/>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分类</w:t>
            </w:r>
          </w:p>
        </w:tc>
        <w:tc>
          <w:tcPr>
            <w:tcW w:w="1891" w:type="dxa"/>
            <w:vMerge w:val="restart"/>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储存温度</w:t>
            </w:r>
          </w:p>
          <w:p>
            <w:pPr>
              <w:pStyle w:val="57"/>
              <w:ind w:firstLine="0" w:firstLineChars="0"/>
              <w:jc w:val="center"/>
              <w:rPr>
                <w:sz w:val="18"/>
                <w:szCs w:val="18"/>
              </w:rPr>
            </w:pPr>
            <w:r>
              <w:rPr>
                <w:rFonts w:hint="eastAsia" w:hAnsi="宋体"/>
                <w:sz w:val="18"/>
                <w:szCs w:val="18"/>
              </w:rPr>
              <w:t>℃</w:t>
            </w:r>
          </w:p>
        </w:tc>
        <w:tc>
          <w:tcPr>
            <w:tcW w:w="4276" w:type="dxa"/>
            <w:gridSpan w:val="2"/>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运输温度</w:t>
            </w:r>
          </w:p>
          <w:p>
            <w:pPr>
              <w:pStyle w:val="57"/>
              <w:ind w:firstLine="0" w:firstLineChars="0"/>
              <w:jc w:val="center"/>
              <w:rPr>
                <w:sz w:val="18"/>
                <w:szCs w:val="18"/>
              </w:rPr>
            </w:pPr>
            <w:r>
              <w:rPr>
                <w:rFonts w:hint="eastAsia" w:hAnsi="宋体"/>
                <w:sz w:val="18"/>
                <w:szCs w:val="18"/>
              </w:rPr>
              <w:t>℃</w:t>
            </w:r>
          </w:p>
        </w:tc>
        <w:tc>
          <w:tcPr>
            <w:tcW w:w="1894" w:type="dxa"/>
            <w:vMerge w:val="restart"/>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储存时间</w:t>
            </w:r>
          </w:p>
          <w:p>
            <w:pPr>
              <w:pStyle w:val="57"/>
              <w:ind w:firstLine="0" w:firstLineChars="0"/>
              <w:jc w:val="center"/>
              <w:rPr>
                <w:sz w:val="18"/>
                <w:szCs w:val="18"/>
              </w:rPr>
            </w:pPr>
            <w:r>
              <w:rPr>
                <w:rFonts w:hint="eastAsia" w:hAnsi="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Times New Roman"/>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Times New Roman"/>
                <w:kern w:val="0"/>
                <w:sz w:val="18"/>
                <w:szCs w:val="18"/>
              </w:rPr>
            </w:pPr>
          </w:p>
        </w:tc>
        <w:tc>
          <w:tcPr>
            <w:tcW w:w="2246"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中长途运输</w:t>
            </w:r>
          </w:p>
          <w:p>
            <w:pPr>
              <w:pStyle w:val="57"/>
              <w:ind w:firstLine="0" w:firstLineChars="0"/>
              <w:jc w:val="center"/>
              <w:rPr>
                <w:sz w:val="18"/>
                <w:szCs w:val="18"/>
              </w:rPr>
            </w:pPr>
            <w:r>
              <w:rPr>
                <w:rFonts w:hint="eastAsia" w:hAnsi="宋体"/>
                <w:sz w:val="18"/>
                <w:szCs w:val="18"/>
              </w:rPr>
              <w:t>（直达运输）</w:t>
            </w:r>
          </w:p>
        </w:tc>
        <w:tc>
          <w:tcPr>
            <w:tcW w:w="2030"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短途运输</w:t>
            </w:r>
            <w:r>
              <w:rPr>
                <w:rFonts w:hint="eastAsia"/>
                <w:sz w:val="18"/>
                <w:szCs w:val="18"/>
              </w:rPr>
              <w:br w:type="textWrapping"/>
            </w:r>
            <w:r>
              <w:rPr>
                <w:rFonts w:hint="eastAsia" w:hAnsi="宋体"/>
                <w:sz w:val="18"/>
                <w:szCs w:val="18"/>
              </w:rPr>
              <w:t>（不超过5H）</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sz w:val="18"/>
                <w:szCs w:val="18"/>
              </w:rPr>
              <w:t>冷藏产品</w:t>
            </w:r>
          </w:p>
        </w:tc>
        <w:tc>
          <w:tcPr>
            <w:tcW w:w="1891"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≤4</w:t>
            </w:r>
          </w:p>
        </w:tc>
        <w:tc>
          <w:tcPr>
            <w:tcW w:w="2246"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≤4</w:t>
            </w:r>
          </w:p>
        </w:tc>
        <w:tc>
          <w:tcPr>
            <w:tcW w:w="2030"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≤4</w:t>
            </w:r>
          </w:p>
        </w:tc>
        <w:tc>
          <w:tcPr>
            <w:tcW w:w="1894"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sz w:val="18"/>
                <w:szCs w:val="18"/>
              </w:rPr>
              <w:t>速冻产品</w:t>
            </w:r>
          </w:p>
        </w:tc>
        <w:tc>
          <w:tcPr>
            <w:tcW w:w="1891"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≤-18</w:t>
            </w:r>
          </w:p>
        </w:tc>
        <w:tc>
          <w:tcPr>
            <w:tcW w:w="2246"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≤-18</w:t>
            </w:r>
          </w:p>
        </w:tc>
        <w:tc>
          <w:tcPr>
            <w:tcW w:w="2030"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≤-12</w:t>
            </w:r>
          </w:p>
        </w:tc>
        <w:tc>
          <w:tcPr>
            <w:tcW w:w="1894"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hAnsi="宋体"/>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pStyle w:val="57"/>
              <w:ind w:firstLine="0" w:firstLineChars="0"/>
              <w:jc w:val="center"/>
              <w:rPr>
                <w:sz w:val="18"/>
                <w:szCs w:val="18"/>
              </w:rPr>
            </w:pPr>
            <w:r>
              <w:rPr>
                <w:rFonts w:hint="eastAsia"/>
                <w:sz w:val="18"/>
                <w:szCs w:val="18"/>
              </w:rPr>
              <w:t>常温产品</w:t>
            </w:r>
          </w:p>
        </w:tc>
        <w:tc>
          <w:tcPr>
            <w:tcW w:w="8061" w:type="dxa"/>
            <w:gridSpan w:val="4"/>
            <w:tcBorders>
              <w:top w:val="single" w:color="auto" w:sz="4" w:space="0"/>
              <w:left w:val="single" w:color="auto" w:sz="4" w:space="0"/>
              <w:bottom w:val="single" w:color="auto" w:sz="4" w:space="0"/>
              <w:right w:val="single" w:color="auto" w:sz="4" w:space="0"/>
            </w:tcBorders>
            <w:vAlign w:val="center"/>
          </w:tcPr>
          <w:p>
            <w:pPr>
              <w:pStyle w:val="57"/>
              <w:ind w:firstLine="0" w:firstLineChars="0"/>
              <w:jc w:val="left"/>
              <w:rPr>
                <w:rFonts w:hAnsi="宋体"/>
                <w:sz w:val="18"/>
                <w:szCs w:val="18"/>
              </w:rPr>
            </w:pPr>
            <w:r>
              <w:rPr>
                <w:rFonts w:hint="eastAsia" w:hAnsi="宋体"/>
                <w:sz w:val="18"/>
                <w:szCs w:val="18"/>
              </w:rPr>
              <w:t>应避免在高温环境下进行贮存、运输和销售。</w:t>
            </w:r>
          </w:p>
        </w:tc>
      </w:tr>
      <w:bookmarkEnd w:id="21"/>
    </w:tbl>
    <w:p>
      <w:pPr>
        <w:pStyle w:val="57"/>
        <w:ind w:firstLine="0" w:firstLineChars="0"/>
        <w:jc w:val="center"/>
      </w:pPr>
      <w:bookmarkStart w:id="43" w:name="BookMark8"/>
    </w:p>
    <w:p>
      <w:pPr>
        <w:pStyle w:val="57"/>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9AE7ECD"/>
    <w:multiLevelType w:val="multilevel"/>
    <w:tmpl w:val="39AE7ECD"/>
    <w:lvl w:ilvl="0" w:tentative="0">
      <w:start w:val="1"/>
      <w:numFmt w:val="decimal"/>
      <w:suff w:val="nothing"/>
      <w:lvlText w:val="表%1　"/>
      <w:lvlJc w:val="left"/>
      <w:pPr>
        <w:ind w:left="0" w:firstLine="0"/>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7"/>
        </w:tabs>
        <w:ind w:left="1417"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1.%2.%3.%4.%5"/>
      <w:lvlJc w:val="left"/>
      <w:pPr>
        <w:tabs>
          <w:tab w:val="left" w:pos="2551"/>
        </w:tabs>
        <w:ind w:left="2551" w:hanging="850"/>
      </w:pPr>
      <w:rPr>
        <w:rFonts w:hint="default" w:ascii="Times New Roman" w:hAnsi="Times New Roman" w:cs="Times New Roman"/>
      </w:rPr>
    </w:lvl>
    <w:lvl w:ilvl="5" w:tentative="0">
      <w:start w:val="1"/>
      <w:numFmt w:val="decimal"/>
      <w:lvlText w:val="%1.%2.%3.%4.%5.%6"/>
      <w:lvlJc w:val="left"/>
      <w:pPr>
        <w:tabs>
          <w:tab w:val="left" w:pos="3260"/>
        </w:tabs>
        <w:ind w:left="3260" w:hanging="1134"/>
      </w:pPr>
      <w:rPr>
        <w:rFonts w:hint="default" w:ascii="Times New Roman" w:hAnsi="Times New Roman" w:cs="Times New Roman"/>
      </w:rPr>
    </w:lvl>
    <w:lvl w:ilvl="6" w:tentative="0">
      <w:start w:val="1"/>
      <w:numFmt w:val="decimal"/>
      <w:lvlText w:val="%1.%2.%3.%4.%5.%6.%7"/>
      <w:lvlJc w:val="left"/>
      <w:pPr>
        <w:tabs>
          <w:tab w:val="left" w:pos="3827"/>
        </w:tabs>
        <w:ind w:left="3827" w:hanging="1276"/>
      </w:pPr>
      <w:rPr>
        <w:rFonts w:hint="default" w:ascii="Times New Roman" w:hAnsi="Times New Roman" w:cs="Times New Roman"/>
      </w:rPr>
    </w:lvl>
    <w:lvl w:ilvl="7" w:tentative="0">
      <w:start w:val="1"/>
      <w:numFmt w:val="decimal"/>
      <w:lvlText w:val="%1.%2.%3.%4.%5.%6.%7.%8"/>
      <w:lvlJc w:val="left"/>
      <w:pPr>
        <w:tabs>
          <w:tab w:val="left" w:pos="4394"/>
        </w:tabs>
        <w:ind w:left="4394" w:hanging="1418"/>
      </w:pPr>
      <w:rPr>
        <w:rFonts w:hint="default" w:ascii="Times New Roman" w:hAnsi="Times New Roman" w:cs="Times New Roman"/>
      </w:rPr>
    </w:lvl>
    <w:lvl w:ilvl="8" w:tentative="0">
      <w:start w:val="1"/>
      <w:numFmt w:val="decimal"/>
      <w:lvlText w:val="%1.%2.%3.%4.%5.%6.%7.%8.%9"/>
      <w:lvlJc w:val="left"/>
      <w:pPr>
        <w:tabs>
          <w:tab w:val="left" w:pos="5102"/>
        </w:tabs>
        <w:ind w:left="5102" w:hanging="1700"/>
      </w:pPr>
      <w:rPr>
        <w:rFonts w:hint="default" w:ascii="Times New Roman" w:hAnsi="Times New Roman" w:cs="Times New Roman"/>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ZTNjNTA5YjFmYjQ1Y2Y0OTA4ZmExNzAwNTU0MWYifQ=="/>
  </w:docVars>
  <w:rsids>
    <w:rsidRoot w:val="0051213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E3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678"/>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C4C"/>
    <w:rsid w:val="001A6696"/>
    <w:rsid w:val="001B06E8"/>
    <w:rsid w:val="001B1C4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CF7"/>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AE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78B"/>
    <w:rsid w:val="002A680C"/>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670"/>
    <w:rsid w:val="00324D13"/>
    <w:rsid w:val="00324EDD"/>
    <w:rsid w:val="003331E4"/>
    <w:rsid w:val="00336C64"/>
    <w:rsid w:val="00337162"/>
    <w:rsid w:val="0034194F"/>
    <w:rsid w:val="0034422E"/>
    <w:rsid w:val="00344605"/>
    <w:rsid w:val="003474AA"/>
    <w:rsid w:val="00350D1D"/>
    <w:rsid w:val="00352C83"/>
    <w:rsid w:val="00352F1A"/>
    <w:rsid w:val="0036107C"/>
    <w:rsid w:val="003615D2"/>
    <w:rsid w:val="0036429C"/>
    <w:rsid w:val="00364A53"/>
    <w:rsid w:val="00364CCE"/>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B52"/>
    <w:rsid w:val="003E019F"/>
    <w:rsid w:val="003E091D"/>
    <w:rsid w:val="003E1C53"/>
    <w:rsid w:val="003E2A69"/>
    <w:rsid w:val="003E2D49"/>
    <w:rsid w:val="003E2FD4"/>
    <w:rsid w:val="003E49F6"/>
    <w:rsid w:val="003E53C9"/>
    <w:rsid w:val="003E660F"/>
    <w:rsid w:val="003F0841"/>
    <w:rsid w:val="003F23D3"/>
    <w:rsid w:val="003F3F08"/>
    <w:rsid w:val="003F49F1"/>
    <w:rsid w:val="003F6272"/>
    <w:rsid w:val="00400E72"/>
    <w:rsid w:val="00401068"/>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7B0"/>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EBD"/>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3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C4C"/>
    <w:rsid w:val="005F0D9C"/>
    <w:rsid w:val="005F19AA"/>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E7B"/>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9A9"/>
    <w:rsid w:val="006E5F9E"/>
    <w:rsid w:val="006F03A8"/>
    <w:rsid w:val="006F2ACA"/>
    <w:rsid w:val="006F2ADC"/>
    <w:rsid w:val="006F2BFE"/>
    <w:rsid w:val="006F31E9"/>
    <w:rsid w:val="006F6284"/>
    <w:rsid w:val="007002C5"/>
    <w:rsid w:val="00702600"/>
    <w:rsid w:val="00704387"/>
    <w:rsid w:val="00707669"/>
    <w:rsid w:val="00711CBA"/>
    <w:rsid w:val="00711FB5"/>
    <w:rsid w:val="00712A01"/>
    <w:rsid w:val="00714F58"/>
    <w:rsid w:val="00722FBF"/>
    <w:rsid w:val="00722FC2"/>
    <w:rsid w:val="00724E1B"/>
    <w:rsid w:val="00725949"/>
    <w:rsid w:val="00727FA2"/>
    <w:rsid w:val="007322D9"/>
    <w:rsid w:val="00732AE2"/>
    <w:rsid w:val="00732BC0"/>
    <w:rsid w:val="007371A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A49"/>
    <w:rsid w:val="00773C1F"/>
    <w:rsid w:val="00774DA4"/>
    <w:rsid w:val="00776599"/>
    <w:rsid w:val="00776BD2"/>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B48"/>
    <w:rsid w:val="007C4593"/>
    <w:rsid w:val="007C5309"/>
    <w:rsid w:val="007C6069"/>
    <w:rsid w:val="007D06C4"/>
    <w:rsid w:val="007D1352"/>
    <w:rsid w:val="007D2508"/>
    <w:rsid w:val="007D346A"/>
    <w:rsid w:val="007D6518"/>
    <w:rsid w:val="007D76BD"/>
    <w:rsid w:val="007E0BF1"/>
    <w:rsid w:val="007F0ED8"/>
    <w:rsid w:val="007F0F63"/>
    <w:rsid w:val="007F75CE"/>
    <w:rsid w:val="007F7FC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FCC"/>
    <w:rsid w:val="0085173A"/>
    <w:rsid w:val="008566E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12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232"/>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15D"/>
    <w:rsid w:val="009E5A2D"/>
    <w:rsid w:val="009E5AB2"/>
    <w:rsid w:val="009E6219"/>
    <w:rsid w:val="009F03B3"/>
    <w:rsid w:val="009F2CE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B0F"/>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EF0"/>
    <w:rsid w:val="00B33952"/>
    <w:rsid w:val="00B33C5E"/>
    <w:rsid w:val="00B342F4"/>
    <w:rsid w:val="00B34369"/>
    <w:rsid w:val="00B34DC2"/>
    <w:rsid w:val="00B3638C"/>
    <w:rsid w:val="00B378E5"/>
    <w:rsid w:val="00B4346D"/>
    <w:rsid w:val="00B440F4"/>
    <w:rsid w:val="00B447A5"/>
    <w:rsid w:val="00B4654C"/>
    <w:rsid w:val="00B4697D"/>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D7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6A4"/>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6E83"/>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657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0BC"/>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41C"/>
    <w:rsid w:val="00E77A03"/>
    <w:rsid w:val="00E822E8"/>
    <w:rsid w:val="00E82554"/>
    <w:rsid w:val="00E82606"/>
    <w:rsid w:val="00E831C1"/>
    <w:rsid w:val="00E83B01"/>
    <w:rsid w:val="00E846C8"/>
    <w:rsid w:val="00E84957"/>
    <w:rsid w:val="00E84A55"/>
    <w:rsid w:val="00E85BFF"/>
    <w:rsid w:val="00E90391"/>
    <w:rsid w:val="00E906C2"/>
    <w:rsid w:val="00E9311F"/>
    <w:rsid w:val="00E934D1"/>
    <w:rsid w:val="00E94AF0"/>
    <w:rsid w:val="00E95D13"/>
    <w:rsid w:val="00E95DD3"/>
    <w:rsid w:val="00E969D5"/>
    <w:rsid w:val="00E972D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732"/>
    <w:rsid w:val="00FD00E6"/>
    <w:rsid w:val="00FD09A1"/>
    <w:rsid w:val="00FD2A7C"/>
    <w:rsid w:val="00FD59EB"/>
    <w:rsid w:val="00FD7299"/>
    <w:rsid w:val="00FE1FBE"/>
    <w:rsid w:val="00FE3901"/>
    <w:rsid w:val="00FE39D3"/>
    <w:rsid w:val="00FE4BCE"/>
    <w:rsid w:val="00FE54AE"/>
    <w:rsid w:val="00FE576A"/>
    <w:rsid w:val="00FE7E79"/>
    <w:rsid w:val="00FF2786"/>
    <w:rsid w:val="00FF3E7D"/>
    <w:rsid w:val="00FF5B99"/>
    <w:rsid w:val="00FF730C"/>
    <w:rsid w:val="00FF73F4"/>
    <w:rsid w:val="00FF7CE4"/>
    <w:rsid w:val="00FF7E39"/>
    <w:rsid w:val="18300FB9"/>
    <w:rsid w:val="274A656E"/>
    <w:rsid w:val="2E3F3A49"/>
    <w:rsid w:val="3AA408A5"/>
    <w:rsid w:val="5B3F76E7"/>
    <w:rsid w:val="72E8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9455E698334B4D8A58DC55621A968E"/>
        <w:style w:val=""/>
        <w:category>
          <w:name w:val="常规"/>
          <w:gallery w:val="placeholder"/>
        </w:category>
        <w:types>
          <w:type w:val="bbPlcHdr"/>
        </w:types>
        <w:behaviors>
          <w:behavior w:val="content"/>
        </w:behaviors>
        <w:description w:val=""/>
        <w:guid w:val="{143976B7-9004-4D38-88B1-BFB3BD158DAD}"/>
      </w:docPartPr>
      <w:docPartBody>
        <w:p>
          <w:pPr>
            <w:pStyle w:val="5"/>
          </w:pPr>
          <w:r>
            <w:rPr>
              <w:rStyle w:val="4"/>
              <w:rFonts w:hint="eastAsia"/>
            </w:rPr>
            <w:t>单击或点击此处输入文字。</w:t>
          </w:r>
        </w:p>
      </w:docPartBody>
    </w:docPart>
    <w:docPart>
      <w:docPartPr>
        <w:name w:val="55318A234B614765B48D491C896F7FB6"/>
        <w:style w:val=""/>
        <w:category>
          <w:name w:val="常规"/>
          <w:gallery w:val="placeholder"/>
        </w:category>
        <w:types>
          <w:type w:val="bbPlcHdr"/>
        </w:types>
        <w:behaviors>
          <w:behavior w:val="content"/>
        </w:behaviors>
        <w:description w:val=""/>
        <w:guid w:val="{A5447A53-7090-4AB5-A116-165B381D89EF}"/>
      </w:docPartPr>
      <w:docPartBody>
        <w:p>
          <w:pPr>
            <w:pStyle w:val="6"/>
          </w:pPr>
          <w:r>
            <w:rPr>
              <w:rStyle w:val="4"/>
              <w:rFonts w:hint="eastAsia"/>
            </w:rPr>
            <w:t>选择一项。</w:t>
          </w:r>
        </w:p>
      </w:docPartBody>
    </w:docPart>
    <w:docPart>
      <w:docPartPr>
        <w:name w:val="1A6A6A961C3E4561A7EFA618A0FAA928"/>
        <w:style w:val=""/>
        <w:category>
          <w:name w:val="常规"/>
          <w:gallery w:val="placeholder"/>
        </w:category>
        <w:types>
          <w:type w:val="bbPlcHdr"/>
        </w:types>
        <w:behaviors>
          <w:behavior w:val="content"/>
        </w:behaviors>
        <w:description w:val=""/>
        <w:guid w:val="{E6D43A09-EBAA-47F0-845C-115E1A87D58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D1"/>
    <w:rsid w:val="003F6388"/>
    <w:rsid w:val="00405722"/>
    <w:rsid w:val="004123AE"/>
    <w:rsid w:val="004D2857"/>
    <w:rsid w:val="006466DD"/>
    <w:rsid w:val="00676AAA"/>
    <w:rsid w:val="00B170D1"/>
    <w:rsid w:val="00CF0615"/>
    <w:rsid w:val="00F1595E"/>
    <w:rsid w:val="00F2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69455E698334B4D8A58DC55621A96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5318A234B614765B48D491C896F7F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6A6A961C3E4561A7EFA618A0FAA92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E31B7-6991-46E1-986B-2949244F05C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2764</Words>
  <Characters>3019</Characters>
  <Lines>25</Lines>
  <Paragraphs>7</Paragraphs>
  <TotalTime>0</TotalTime>
  <ScaleCrop>false</ScaleCrop>
  <LinksUpToDate>false</LinksUpToDate>
  <CharactersWithSpaces>3094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2023-05-31T09:07:00Z</dcterms:created>
  <dc:creator>lenovo</dc:creator>
  <dc:description>&lt;config cover="true" show_menu="true" version="1.0.0" doctype="SDKXY"&gt;_x000d_
&lt;/config&gt;</dc:description>
  <cp:lastModifiedBy>勋</cp:lastModifiedBy>
  <cp:lastPrinted>2021-02-02T08:22:00Z</cp:lastPrinted>
  <dcterms:modified xsi:type="dcterms:W3CDTF">2023-07-13T01:00:31Z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5D69CE017A4B42A1B22B2D35695BD688_12</vt:lpwstr>
  </property>
</Properties>
</file>