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DEA2D">
      <w:pPr>
        <w:jc w:val="center"/>
        <w:rPr>
          <w:rFonts w:hint="eastAsia" w:ascii="微软雅黑" w:eastAsia="微软雅黑"/>
          <w:sz w:val="44"/>
          <w:szCs w:val="44"/>
        </w:rPr>
      </w:pPr>
    </w:p>
    <w:p w14:paraId="4AC87EDB">
      <w:pPr>
        <w:spacing w:line="660" w:lineRule="exact"/>
        <w:jc w:val="both"/>
        <w:rPr>
          <w:rFonts w:hint="eastAsia" w:ascii="微软雅黑" w:eastAsia="微软雅黑"/>
          <w:sz w:val="44"/>
          <w:szCs w:val="44"/>
        </w:rPr>
      </w:pPr>
    </w:p>
    <w:p w14:paraId="3A252D16">
      <w:pPr>
        <w:spacing w:line="660" w:lineRule="exact"/>
        <w:jc w:val="center"/>
        <w:rPr>
          <w:rFonts w:hint="eastAsia" w:ascii="微软雅黑" w:eastAsia="微软雅黑"/>
          <w:sz w:val="44"/>
          <w:szCs w:val="44"/>
        </w:rPr>
      </w:pPr>
    </w:p>
    <w:p w14:paraId="68FFAA94">
      <w:pPr>
        <w:spacing w:line="6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《地理标志产品质量要求 雷岭荔枝》</w:t>
      </w:r>
    </w:p>
    <w:p w14:paraId="5160D1E5">
      <w:pPr>
        <w:spacing w:line="660" w:lineRule="exact"/>
        <w:jc w:val="center"/>
        <w:rPr>
          <w:rFonts w:ascii="方正小标宋简体" w:eastAsia="方正小标宋简体"/>
          <w:sz w:val="44"/>
          <w:szCs w:val="44"/>
        </w:rPr>
      </w:pPr>
      <w:r>
        <w:rPr>
          <w:rFonts w:hint="eastAsia" w:ascii="方正小标宋简体" w:eastAsia="方正小标宋简体"/>
          <w:sz w:val="44"/>
          <w:szCs w:val="44"/>
        </w:rPr>
        <w:t>团体标准编制说明</w:t>
      </w:r>
    </w:p>
    <w:p w14:paraId="4D324EF4">
      <w:pPr>
        <w:jc w:val="center"/>
        <w:rPr>
          <w:rFonts w:ascii="微软雅黑" w:eastAsia="微软雅黑"/>
          <w:b/>
          <w:bCs/>
          <w:sz w:val="44"/>
          <w:szCs w:val="44"/>
        </w:rPr>
      </w:pPr>
    </w:p>
    <w:p w14:paraId="67A3F684">
      <w:pPr>
        <w:rPr>
          <w:rFonts w:ascii="微软雅黑" w:eastAsia="微软雅黑"/>
          <w:sz w:val="72"/>
          <w:szCs w:val="72"/>
        </w:rPr>
      </w:pPr>
    </w:p>
    <w:p w14:paraId="3E9DB997">
      <w:pPr>
        <w:jc w:val="center"/>
        <w:rPr>
          <w:rFonts w:ascii="微软雅黑" w:eastAsia="微软雅黑"/>
          <w:sz w:val="44"/>
          <w:szCs w:val="44"/>
        </w:rPr>
      </w:pPr>
    </w:p>
    <w:p w14:paraId="4CF52246">
      <w:pPr>
        <w:jc w:val="center"/>
        <w:rPr>
          <w:rFonts w:ascii="微软雅黑" w:eastAsia="微软雅黑"/>
          <w:sz w:val="44"/>
          <w:szCs w:val="44"/>
        </w:rPr>
      </w:pPr>
    </w:p>
    <w:p w14:paraId="3331514B">
      <w:pPr>
        <w:jc w:val="center"/>
        <w:rPr>
          <w:rFonts w:ascii="微软雅黑" w:eastAsia="微软雅黑"/>
          <w:sz w:val="44"/>
          <w:szCs w:val="44"/>
        </w:rPr>
      </w:pPr>
    </w:p>
    <w:p w14:paraId="73A71B2F">
      <w:pPr>
        <w:jc w:val="center"/>
        <w:rPr>
          <w:rFonts w:ascii="微软雅黑" w:eastAsia="微软雅黑"/>
          <w:sz w:val="44"/>
          <w:szCs w:val="44"/>
        </w:rPr>
      </w:pPr>
    </w:p>
    <w:p w14:paraId="5AB080CA">
      <w:pPr>
        <w:jc w:val="center"/>
        <w:rPr>
          <w:rFonts w:hint="eastAsia" w:ascii="楷体_GB2312" w:eastAsia="楷体_GB2312"/>
          <w:b w:val="0"/>
          <w:bCs/>
          <w:sz w:val="32"/>
          <w:szCs w:val="32"/>
          <w:lang w:eastAsia="zh-CN"/>
        </w:rPr>
      </w:pPr>
    </w:p>
    <w:p w14:paraId="7FCE16D6">
      <w:pPr>
        <w:jc w:val="center"/>
        <w:rPr>
          <w:rFonts w:hint="eastAsia" w:ascii="楷体_GB2312" w:eastAsia="楷体_GB2312"/>
          <w:b/>
          <w:bCs w:val="0"/>
          <w:sz w:val="32"/>
          <w:szCs w:val="32"/>
          <w:lang w:eastAsia="zh-CN"/>
        </w:rPr>
      </w:pPr>
    </w:p>
    <w:p w14:paraId="7290C16E">
      <w:pPr>
        <w:jc w:val="center"/>
        <w:rPr>
          <w:rFonts w:ascii="楷体_GB2312" w:eastAsia="楷体_GB2312"/>
          <w:b/>
          <w:bCs w:val="0"/>
          <w:sz w:val="32"/>
          <w:szCs w:val="32"/>
        </w:rPr>
      </w:pPr>
      <w:r>
        <w:rPr>
          <w:rFonts w:hint="eastAsia" w:ascii="楷体_GB2312" w:eastAsia="楷体_GB2312"/>
          <w:b/>
          <w:bCs w:val="0"/>
          <w:sz w:val="32"/>
          <w:szCs w:val="32"/>
          <w:lang w:eastAsia="zh-CN"/>
        </w:rPr>
        <w:t>《地理标志产品质量要求 雷岭荔枝》</w:t>
      </w:r>
      <w:r>
        <w:rPr>
          <w:rFonts w:hint="eastAsia" w:ascii="楷体_GB2312" w:eastAsia="楷体_GB2312"/>
          <w:b/>
          <w:bCs w:val="0"/>
          <w:sz w:val="32"/>
          <w:szCs w:val="32"/>
        </w:rPr>
        <w:t>标准起草</w:t>
      </w:r>
      <w:r>
        <w:rPr>
          <w:rFonts w:hint="eastAsia" w:ascii="楷体_GB2312" w:eastAsia="楷体_GB2312"/>
          <w:b/>
          <w:bCs w:val="0"/>
          <w:sz w:val="32"/>
          <w:szCs w:val="32"/>
          <w:lang w:val="en-US" w:eastAsia="zh-CN"/>
        </w:rPr>
        <w:t>工作</w:t>
      </w:r>
      <w:r>
        <w:rPr>
          <w:rFonts w:hint="eastAsia" w:ascii="楷体_GB2312" w:eastAsia="楷体_GB2312"/>
          <w:b/>
          <w:bCs w:val="0"/>
          <w:sz w:val="32"/>
          <w:szCs w:val="32"/>
        </w:rPr>
        <w:t>组</w:t>
      </w:r>
    </w:p>
    <w:p w14:paraId="2C172CB2">
      <w:pPr>
        <w:jc w:val="center"/>
        <w:rPr>
          <w:rFonts w:ascii="楷体_GB2312" w:eastAsia="楷体_GB2312"/>
          <w:b/>
          <w:bCs w:val="0"/>
          <w:sz w:val="32"/>
          <w:szCs w:val="32"/>
        </w:rPr>
        <w:sectPr>
          <w:headerReference r:id="rId5" w:type="default"/>
          <w:pgSz w:w="11906" w:h="16838"/>
          <w:pgMar w:top="1440" w:right="1800" w:bottom="1440" w:left="1800" w:header="851" w:footer="992" w:gutter="0"/>
          <w:cols w:space="425" w:num="1"/>
          <w:docGrid w:type="lines" w:linePitch="312" w:charSpace="0"/>
        </w:sectPr>
      </w:pPr>
      <w:r>
        <w:rPr>
          <w:rFonts w:hint="eastAsia" w:ascii="楷体_GB2312" w:eastAsia="楷体_GB2312"/>
          <w:b/>
          <w:bCs w:val="0"/>
          <w:sz w:val="32"/>
          <w:szCs w:val="32"/>
        </w:rPr>
        <w:t>202</w:t>
      </w:r>
      <w:r>
        <w:rPr>
          <w:rFonts w:hint="eastAsia" w:ascii="楷体_GB2312" w:eastAsia="楷体_GB2312"/>
          <w:b/>
          <w:bCs w:val="0"/>
          <w:sz w:val="32"/>
          <w:szCs w:val="32"/>
          <w:lang w:val="en-US" w:eastAsia="zh-CN"/>
        </w:rPr>
        <w:t>6</w:t>
      </w:r>
      <w:r>
        <w:rPr>
          <w:rFonts w:hint="eastAsia" w:ascii="楷体_GB2312" w:eastAsia="楷体_GB2312"/>
          <w:b/>
          <w:bCs w:val="0"/>
          <w:sz w:val="32"/>
          <w:szCs w:val="32"/>
        </w:rPr>
        <w:t>年</w:t>
      </w:r>
      <w:r>
        <w:rPr>
          <w:rFonts w:hint="eastAsia" w:ascii="楷体_GB2312" w:eastAsia="楷体_GB2312"/>
          <w:b/>
          <w:bCs w:val="0"/>
          <w:sz w:val="32"/>
          <w:szCs w:val="32"/>
          <w:lang w:val="en-US" w:eastAsia="zh-CN"/>
        </w:rPr>
        <w:t>7</w:t>
      </w:r>
      <w:r>
        <w:rPr>
          <w:rFonts w:hint="eastAsia" w:ascii="楷体_GB2312" w:eastAsia="楷体_GB2312"/>
          <w:b/>
          <w:bCs w:val="0"/>
          <w:sz w:val="32"/>
          <w:szCs w:val="32"/>
        </w:rPr>
        <w:t>月</w:t>
      </w:r>
    </w:p>
    <w:p w14:paraId="1D985E1A">
      <w:pPr>
        <w:keepNext w:val="0"/>
        <w:keepLines w:val="0"/>
        <w:pageBreakBefore w:val="0"/>
        <w:widowControl/>
        <w:kinsoku/>
        <w:wordWrap/>
        <w:overflowPunct/>
        <w:topLinePunct w:val="0"/>
        <w:bidi w:val="0"/>
        <w:adjustRightInd/>
        <w:snapToGrid/>
        <w:spacing w:line="560" w:lineRule="exact"/>
        <w:jc w:val="center"/>
        <w:textAlignment w:val="auto"/>
        <w:rPr>
          <w:rFonts w:hint="eastAsia" w:ascii="黑体" w:hAnsi="宋体" w:eastAsia="黑体" w:cs="黑体"/>
          <w:color w:val="000000"/>
          <w:kern w:val="0"/>
          <w:sz w:val="36"/>
          <w:szCs w:val="36"/>
          <w:lang w:bidi="ar"/>
        </w:rPr>
      </w:pPr>
      <w:r>
        <w:rPr>
          <w:rFonts w:hint="eastAsia" w:ascii="黑体" w:hAnsi="宋体" w:eastAsia="黑体" w:cs="黑体"/>
          <w:color w:val="000000"/>
          <w:kern w:val="0"/>
          <w:sz w:val="36"/>
          <w:szCs w:val="36"/>
          <w:lang w:eastAsia="zh-CN" w:bidi="ar"/>
        </w:rPr>
        <w:t>《地理标志产品质量要求 雷岭荔枝》</w:t>
      </w:r>
      <w:r>
        <w:rPr>
          <w:rFonts w:hint="eastAsia" w:ascii="黑体" w:hAnsi="宋体" w:eastAsia="黑体" w:cs="黑体"/>
          <w:color w:val="000000"/>
          <w:kern w:val="0"/>
          <w:sz w:val="36"/>
          <w:szCs w:val="36"/>
          <w:lang w:bidi="ar"/>
        </w:rPr>
        <w:t>团体标准</w:t>
      </w:r>
    </w:p>
    <w:p w14:paraId="4B4FE82E">
      <w:pPr>
        <w:keepNext w:val="0"/>
        <w:keepLines w:val="0"/>
        <w:pageBreakBefore w:val="0"/>
        <w:widowControl/>
        <w:kinsoku/>
        <w:wordWrap/>
        <w:overflowPunct/>
        <w:topLinePunct w:val="0"/>
        <w:bidi w:val="0"/>
        <w:adjustRightInd/>
        <w:snapToGrid/>
        <w:spacing w:line="560" w:lineRule="exact"/>
        <w:jc w:val="center"/>
        <w:textAlignment w:val="auto"/>
        <w:rPr>
          <w:sz w:val="36"/>
          <w:szCs w:val="36"/>
        </w:rPr>
      </w:pPr>
      <w:r>
        <w:rPr>
          <w:rFonts w:hint="eastAsia" w:ascii="黑体" w:hAnsi="宋体" w:eastAsia="黑体" w:cs="黑体"/>
          <w:color w:val="000000"/>
          <w:kern w:val="0"/>
          <w:sz w:val="36"/>
          <w:szCs w:val="36"/>
          <w:lang w:bidi="ar"/>
        </w:rPr>
        <w:t>编制说明</w:t>
      </w:r>
    </w:p>
    <w:p w14:paraId="0714E519">
      <w:pPr>
        <w:keepNext w:val="0"/>
        <w:keepLines w:val="0"/>
        <w:pageBreakBefore w:val="0"/>
        <w:widowControl/>
        <w:kinsoku/>
        <w:wordWrap/>
        <w:overflowPunct/>
        <w:topLinePunct w:val="0"/>
        <w:bidi w:val="0"/>
        <w:adjustRightInd/>
        <w:snapToGrid/>
        <w:spacing w:line="560" w:lineRule="exact"/>
        <w:jc w:val="left"/>
        <w:textAlignment w:val="auto"/>
        <w:rPr>
          <w:rFonts w:ascii="宋体" w:hAnsi="宋体" w:cs="宋体"/>
          <w:b/>
          <w:color w:val="000000"/>
          <w:kern w:val="0"/>
          <w:sz w:val="28"/>
          <w:szCs w:val="28"/>
          <w:lang w:bidi="ar"/>
        </w:rPr>
      </w:pPr>
    </w:p>
    <w:p w14:paraId="71903FC1">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sz w:val="30"/>
          <w:szCs w:val="30"/>
          <w:lang w:eastAsia="zh-CN"/>
        </w:rPr>
      </w:pPr>
      <w:r>
        <w:rPr>
          <w:rFonts w:hint="eastAsia" w:ascii="黑体" w:hAnsi="黑体" w:eastAsia="黑体"/>
          <w:sz w:val="32"/>
          <w:szCs w:val="32"/>
          <w:lang w:eastAsia="zh-CN"/>
        </w:rPr>
        <w:t>一、 项目背景</w:t>
      </w:r>
      <w:r>
        <w:rPr>
          <w:rFonts w:hint="eastAsia" w:ascii="黑体" w:hAnsi="黑体" w:eastAsia="黑体"/>
          <w:sz w:val="30"/>
          <w:szCs w:val="30"/>
          <w:lang w:eastAsia="zh-CN"/>
        </w:rPr>
        <w:t xml:space="preserve"> </w:t>
      </w:r>
    </w:p>
    <w:p w14:paraId="411C8F9C">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（一）标准化对象简介</w:t>
      </w:r>
    </w:p>
    <w:p w14:paraId="62A1C31F">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雷岭荔枝产自广东省汕头市潮南区雷岭镇，是广东省知名的晚熟荔枝优良品种，产区坐拥“粤东荔枝之乡”的美誉。雷岭镇荔枝种植历史悠久，距今已有500余年种植积淀，是粤东地区种植规模最大、果品品质最优的荔枝核心主产区。全镇荔枝种植面积达4.4万亩，雷岭荔枝凭借出色的品性，成为当地核心优势主栽品种，市场竞争力突出。</w:t>
      </w:r>
    </w:p>
    <w:p w14:paraId="2AD405DA">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雷岭镇地处大南山南麓，属南亚热带海洋性季风气候，区域光热充沛、雨量丰盈、无霜期长，为荔枝生长繁育营造了得天独厚的气候环境。当地土壤为花岗岩风化形成的砂质赤红壤，土质疏松通透，富含多种天然矿物质，有机质含量高、养分均衡充足，十分适宜雷岭荔枝的生长发育，有利于果实积累糖分、凝聚天然果香，造就了独特的优良风味。</w:t>
      </w:r>
    </w:p>
    <w:p w14:paraId="0B110E5A">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优越的气候与土壤条件相辅相成，孕育出雷岭荔枝独具特色的优良品质。该品种荔枝果肉洁润细腻、肉质脆爽、汁水饱满，果香馥郁醇厚、口感清甜爽口，风味特质鲜明。2022年11月，“雷岭荔枝”成功注册为国家地理标志证明商标。</w:t>
      </w:r>
    </w:p>
    <w:p w14:paraId="611FB9EE">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（二）标准化的目的和意义</w:t>
      </w:r>
    </w:p>
    <w:p w14:paraId="42EE58BB">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雷岭荔枝”虽于2022年获国家地理标志保护，但目前存在专属配套质量标准缺失的问题，标准体系存在明显空白。当前国内荔枝行业标准仅适配普通荔枝通用质量要求，各类现行标准均未针对雷岭荔枝的专属产地范围、特色品质指标作出专项界定，缺乏专属技术支撑。专属质量标准是地理标志产品依法保护、规范管理的核心法定要件，也是合规使用地理标志名称与专用标志的前提。标准缺位直接导致各方主体履职、用标、监管无据可依，形成三方制约：对申请人而言，依据《地理标志产品保护办法》需常态化管理产品名称、专用标志使用及产品特色质量，但缺少专属标准依据，难以落实法定管理职责；对地方及省级知识产权管理部门而言，依法需开展产地范围、质量特色、标准符合性、标志使用等日常监管及信息报送工作，但缺少专属判定依据，难以实施精准有效的监管工作；对生产企业而言，缺少专属标准准入依据，无法合规申请和使用地理标志专用名称及专用标志。标准缺失不仅导致地理标志商标难以规范使用，品牌优势无法有效激活、难以转化为产业经济效益，还造成行业品质管控缺位、品牌辨识度不足、市场以次充好等乱象，严重制约雷岭荔枝地理标志品牌规范化建设与产业高质量升级发展。</w:t>
      </w:r>
    </w:p>
    <w:p w14:paraId="639EB0B2">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因此，亟需制定《地理标志产品质量要求 雷岭荔枝》团体标准，统一明确产品产地范围、产地环境、生产技术、检验规则、标识标签、包装储运等全维度规范。该标准既能为地标申请人开展产品质量、标志使用自主管理提供明确准则，也可为各级知识产权管理部门日常监管、信息报送、合规核查提供统一、科学、可落地的技术依据，彻底补齐监管与管理的标准短板。这对规范雷岭荔枝产业生产经营、杜绝市场乱象、强化地理标志品牌合规管理与品牌价值、提升产品市场核心竞争力、赋能地方乡村振兴具有重要现实意义与法定合规价值。</w:t>
      </w:r>
    </w:p>
    <w:p w14:paraId="40CB43B8">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eastAsia="zh-CN" w:bidi="ar"/>
        </w:rPr>
      </w:pPr>
      <w:r>
        <w:rPr>
          <w:rFonts w:hint="eastAsia" w:ascii="楷体" w:hAnsi="楷体" w:eastAsia="楷体" w:cs="楷体"/>
          <w:b w:val="0"/>
          <w:bCs w:val="0"/>
          <w:color w:val="000000"/>
          <w:kern w:val="0"/>
          <w:sz w:val="32"/>
          <w:szCs w:val="32"/>
          <w:lang w:eastAsia="zh-CN" w:bidi="ar"/>
        </w:rPr>
        <w:t>（</w:t>
      </w:r>
      <w:r>
        <w:rPr>
          <w:rFonts w:hint="eastAsia" w:ascii="楷体" w:hAnsi="楷体" w:eastAsia="楷体" w:cs="楷体"/>
          <w:b w:val="0"/>
          <w:bCs w:val="0"/>
          <w:color w:val="000000"/>
          <w:kern w:val="0"/>
          <w:sz w:val="32"/>
          <w:szCs w:val="32"/>
          <w:lang w:val="en-US" w:eastAsia="zh-CN" w:bidi="ar"/>
        </w:rPr>
        <w:t>三</w:t>
      </w:r>
      <w:r>
        <w:rPr>
          <w:rFonts w:hint="eastAsia" w:ascii="楷体" w:hAnsi="楷体" w:eastAsia="楷体" w:cs="楷体"/>
          <w:b w:val="0"/>
          <w:bCs w:val="0"/>
          <w:color w:val="000000"/>
          <w:kern w:val="0"/>
          <w:sz w:val="32"/>
          <w:szCs w:val="32"/>
          <w:lang w:eastAsia="zh-CN" w:bidi="ar"/>
        </w:rPr>
        <w:t>）任务来源</w:t>
      </w:r>
    </w:p>
    <w:p w14:paraId="694232FC">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2025年12月，在汕头市潮南区雷岭镇人民政府统筹规划下，针对雷岭镇本地荔枝种植产业发展及地理标志证明商标管理保护的现实需要，启动本团体标准研制。本标准由汕头市潮南区雷岭镇荔枝协会、汕头市标准化协会</w:t>
      </w:r>
      <w:r>
        <w:rPr>
          <w:rFonts w:hint="eastAsia" w:ascii="仿宋_GB2312" w:hAnsi="仿宋_GB2312" w:eastAsia="仿宋_GB2312" w:cs="Arial"/>
          <w:color w:val="000000"/>
          <w:kern w:val="0"/>
          <w:sz w:val="32"/>
          <w:szCs w:val="22"/>
          <w:lang w:val="en-US" w:eastAsia="zh-CN"/>
        </w:rPr>
        <w:commentReference w:id="0"/>
      </w:r>
      <w:r>
        <w:rPr>
          <w:rFonts w:hint="eastAsia" w:ascii="仿宋_GB2312" w:hAnsi="仿宋_GB2312" w:eastAsia="仿宋_GB2312" w:cs="Arial"/>
          <w:color w:val="000000"/>
          <w:kern w:val="0"/>
          <w:sz w:val="32"/>
          <w:szCs w:val="22"/>
          <w:lang w:val="en-US" w:eastAsia="zh-CN"/>
        </w:rPr>
        <w:t>联合提出,汕头市潮南区雷岭镇荔枝协会归口管理，立项日期2025年12月5日，项目编号XXXXXXX。</w:t>
      </w:r>
    </w:p>
    <w:p w14:paraId="53F4C36C">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（四）起草单位</w:t>
      </w:r>
    </w:p>
    <w:p w14:paraId="3D6D30EA">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本标准起草单位：</w:t>
      </w:r>
      <w:bookmarkStart w:id="0" w:name="_GoBack"/>
      <w:r>
        <w:rPr>
          <w:rFonts w:hint="eastAsia" w:ascii="仿宋_GB2312" w:hAnsi="仿宋_GB2312" w:eastAsia="仿宋_GB2312" w:cs="Arial"/>
          <w:color w:val="000000"/>
          <w:kern w:val="0"/>
          <w:sz w:val="32"/>
          <w:szCs w:val="22"/>
          <w:lang w:val="en-US" w:eastAsia="zh-CN"/>
        </w:rPr>
        <w:t>汕头市标准化协会、汕头市潮南区雷岭镇荔枝协会、广东省农业科学院蚕业与农产品加工研究所、</w:t>
      </w:r>
      <w:r>
        <w:rPr>
          <w:rFonts w:hint="eastAsia" w:ascii="仿宋_GB2312" w:hAnsi="仿宋_GB2312" w:eastAsia="仿宋_GB2312" w:cs="Arial"/>
          <w:color w:val="000000"/>
          <w:kern w:val="0"/>
          <w:sz w:val="32"/>
          <w:szCs w:val="22"/>
          <w:lang w:val="en-US" w:eastAsia="zh-CN"/>
        </w:rPr>
        <w:t>广东省汕头</w:t>
      </w:r>
      <w:bookmarkEnd w:id="0"/>
      <w:r>
        <w:rPr>
          <w:rFonts w:hint="eastAsia" w:ascii="仿宋_GB2312" w:hAnsi="仿宋_GB2312" w:eastAsia="仿宋_GB2312" w:cs="Arial"/>
          <w:color w:val="000000"/>
          <w:kern w:val="0"/>
          <w:sz w:val="32"/>
          <w:szCs w:val="22"/>
          <w:lang w:val="en-US" w:eastAsia="zh-CN"/>
        </w:rPr>
        <w:t>市质量技术监督标准与编码所、汕头市潮南区农产品质量安全中心。</w:t>
      </w:r>
    </w:p>
    <w:p w14:paraId="45F5061C">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二</w:t>
      </w:r>
      <w:r>
        <w:rPr>
          <w:rFonts w:hint="eastAsia" w:ascii="黑体" w:hAnsi="黑体" w:eastAsia="黑体"/>
          <w:sz w:val="32"/>
          <w:szCs w:val="32"/>
          <w:lang w:eastAsia="zh-CN"/>
        </w:rPr>
        <w:t>、标准编制过程</w:t>
      </w:r>
    </w:p>
    <w:p w14:paraId="1DA0A091">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eastAsia="zh-CN" w:bidi="ar"/>
        </w:rPr>
      </w:pPr>
      <w:r>
        <w:rPr>
          <w:rFonts w:hint="eastAsia" w:ascii="楷体" w:hAnsi="楷体" w:eastAsia="楷体" w:cs="楷体"/>
          <w:b w:val="0"/>
          <w:bCs w:val="0"/>
          <w:color w:val="000000"/>
          <w:kern w:val="0"/>
          <w:sz w:val="32"/>
          <w:szCs w:val="32"/>
          <w:lang w:bidi="ar"/>
        </w:rPr>
        <w:t>（一）</w:t>
      </w:r>
      <w:r>
        <w:rPr>
          <w:rFonts w:hint="eastAsia" w:ascii="楷体" w:hAnsi="楷体" w:eastAsia="楷体" w:cs="楷体"/>
          <w:b w:val="0"/>
          <w:bCs w:val="0"/>
          <w:color w:val="000000"/>
          <w:kern w:val="0"/>
          <w:sz w:val="32"/>
          <w:szCs w:val="32"/>
          <w:lang w:val="en-US" w:eastAsia="zh-CN" w:bidi="ar"/>
        </w:rPr>
        <w:t>组建</w:t>
      </w:r>
      <w:r>
        <w:rPr>
          <w:rFonts w:hint="eastAsia" w:ascii="楷体" w:hAnsi="楷体" w:eastAsia="楷体" w:cs="楷体"/>
          <w:b w:val="0"/>
          <w:bCs w:val="0"/>
          <w:color w:val="000000"/>
          <w:kern w:val="0"/>
          <w:sz w:val="32"/>
          <w:szCs w:val="32"/>
          <w:lang w:bidi="ar"/>
        </w:rPr>
        <w:t>标准</w:t>
      </w:r>
      <w:r>
        <w:rPr>
          <w:rFonts w:hint="eastAsia" w:ascii="楷体" w:hAnsi="楷体" w:eastAsia="楷体" w:cs="楷体"/>
          <w:b w:val="0"/>
          <w:bCs w:val="0"/>
          <w:color w:val="000000"/>
          <w:kern w:val="0"/>
          <w:sz w:val="32"/>
          <w:szCs w:val="32"/>
          <w:lang w:val="en-US" w:eastAsia="zh-CN" w:bidi="ar"/>
        </w:rPr>
        <w:t>起草</w:t>
      </w:r>
      <w:r>
        <w:rPr>
          <w:rFonts w:hint="eastAsia" w:ascii="楷体" w:hAnsi="楷体" w:eastAsia="楷体" w:cs="楷体"/>
          <w:b w:val="0"/>
          <w:bCs w:val="0"/>
          <w:color w:val="000000"/>
          <w:kern w:val="0"/>
          <w:sz w:val="32"/>
          <w:szCs w:val="32"/>
          <w:lang w:bidi="ar"/>
        </w:rPr>
        <w:t>工作组</w:t>
      </w:r>
      <w:r>
        <w:rPr>
          <w:rFonts w:hint="eastAsia" w:ascii="楷体" w:hAnsi="楷体" w:eastAsia="楷体" w:cs="楷体"/>
          <w:b w:val="0"/>
          <w:bCs w:val="0"/>
          <w:color w:val="000000"/>
          <w:kern w:val="0"/>
          <w:sz w:val="32"/>
          <w:szCs w:val="32"/>
          <w:lang w:eastAsia="zh-CN" w:bidi="ar"/>
        </w:rPr>
        <w:t>（</w:t>
      </w:r>
      <w:r>
        <w:rPr>
          <w:rFonts w:hint="eastAsia" w:ascii="楷体" w:hAnsi="楷体" w:eastAsia="楷体" w:cs="楷体"/>
          <w:b w:val="0"/>
          <w:bCs w:val="0"/>
          <w:color w:val="000000"/>
          <w:kern w:val="0"/>
          <w:sz w:val="32"/>
          <w:szCs w:val="32"/>
          <w:lang w:val="en-US" w:eastAsia="zh-CN" w:bidi="ar"/>
        </w:rPr>
        <w:t>2025年12月</w:t>
      </w:r>
      <w:r>
        <w:rPr>
          <w:rFonts w:hint="eastAsia" w:ascii="楷体" w:hAnsi="楷体" w:eastAsia="楷体" w:cs="楷体"/>
          <w:b w:val="0"/>
          <w:bCs w:val="0"/>
          <w:color w:val="000000"/>
          <w:kern w:val="0"/>
          <w:sz w:val="32"/>
          <w:szCs w:val="32"/>
          <w:lang w:eastAsia="zh-CN" w:bidi="ar"/>
        </w:rPr>
        <w:t>）</w:t>
      </w:r>
    </w:p>
    <w:p w14:paraId="39480E31">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2025年12月，本标准完成立项。汕头市标准化协会、广东省汕头市质量技术监督标准与编码所联合组建《地理标志产品质量要求 雷岭荔枝》标准起草工作组，明确各起草人职责，制定全流程工作进度安排。工作组成员涵盖标准化服务、农业科研、农产品质量检测、基层农业服务等领域专业人员及一线种植经营主体代表。</w:t>
      </w:r>
    </w:p>
    <w:p w14:paraId="21B9BFA0">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（二）资料收集与产业调研分析（2025年12月—2026年3月）</w:t>
      </w:r>
    </w:p>
    <w:p w14:paraId="795ACD96">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工作组系统梳理收集各类现行标准文件，涵盖GB/T 17924-2025《地理标志产品质量要求标准编制通则》、NY/T 515-2002《荔枝》、NY/T 1648-2026《荔枝质量分级》、GH/T 1185-2020《鲜荔枝》等国家、行业标准；同步归集雷岭荔枝品质检测数据、鲜果出口冷链操作规范、《雷岭荔枝地理标志证明商标使用管理规则》等产业基础资料。</w:t>
      </w:r>
    </w:p>
    <w:p w14:paraId="6ED2BC52">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期间，工作组实地考察调研了雷岭镇荔枝种植基地，与种植专业户、农科技术专家、农产品检测领域专家、市场监管工作人员与生产经营骨干企业进行充分交流探讨，全面征集雷岭荔枝质量要求、包装储运等环节实操需求，依托实测数据与一线生产实践，初步确定了标准的基本结构和框架。</w:t>
      </w:r>
    </w:p>
    <w:p w14:paraId="44B33A6B">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（三）形成工作组讨论稿（2026年3-6月）</w:t>
      </w:r>
    </w:p>
    <w:p w14:paraId="401CE518">
      <w:pPr>
        <w:keepNext w:val="0"/>
        <w:keepLines w:val="0"/>
        <w:pageBreakBefore w:val="0"/>
        <w:widowControl/>
        <w:numPr>
          <w:ilvl w:val="255"/>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2026年3-6 月，正值雷岭荔枝开花、结果、采收期，工作组聚焦雷岭荔枝栽培技术、质量要求，积极与种植专业户、农科专家、生产经营骨干企业开展深度交流，并于3月12日、6月3日先后两次召开专项研讨会，全面收集一线生产实践数据与技术经验。结合调研及研讨成果，工作组对《雷岭荔枝地理标志证明商标使用管理规则》中明确的特定质量、特定质量与自然因素及栽培技术的关联关系进行梳理整合，搭建起标准条款基本框架。同时，在前期现场调研交流的基础上，组织各方主体集中研讨、广泛征集意见，科学确定各项关键技术指标。最后，结合调研成果、会议意见及相关国家标准、行业标准、文献资料，经工作组多次修改完善，最终形成《地理标志产品质量要求 雷岭荔枝》（工作组讨论稿）。</w:t>
      </w:r>
    </w:p>
    <w:p w14:paraId="13D0EAB6">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（四）形成标准征求意见稿（2026年7月）</w:t>
      </w:r>
    </w:p>
    <w:p w14:paraId="045CCC75">
      <w:pPr>
        <w:keepNext w:val="0"/>
        <w:keepLines w:val="0"/>
        <w:pageBreakBefore w:val="0"/>
        <w:widowControl/>
        <w:numPr>
          <w:ilvl w:val="255"/>
          <w:numId w:val="0"/>
        </w:numPr>
        <w:kinsoku/>
        <w:wordWrap/>
        <w:overflowPunct/>
        <w:topLinePunct w:val="0"/>
        <w:bidi w:val="0"/>
        <w:adjustRightInd/>
        <w:snapToGrid/>
        <w:spacing w:line="560" w:lineRule="exact"/>
        <w:textAlignment w:val="auto"/>
        <w:rPr>
          <w:rFonts w:hint="eastAsia" w:ascii="仿宋_GB2312" w:hAnsi="仿宋_GB2312" w:eastAsia="仿宋_GB2312" w:cs="Arial"/>
          <w:color w:val="000000"/>
          <w:kern w:val="0"/>
          <w:sz w:val="32"/>
          <w:szCs w:val="22"/>
          <w:lang w:val="en-US" w:eastAsia="zh-CN"/>
        </w:rPr>
      </w:pPr>
      <w:r>
        <w:rPr>
          <w:rFonts w:hint="eastAsia" w:ascii="宋体" w:hAnsi="宋体" w:cs="宋体"/>
          <w:color w:val="FF0000"/>
          <w:kern w:val="0"/>
          <w:sz w:val="32"/>
          <w:szCs w:val="32"/>
          <w:lang w:bidi="ar"/>
        </w:rPr>
        <w:t xml:space="preserve">  </w:t>
      </w:r>
      <w:r>
        <w:rPr>
          <w:rFonts w:hint="eastAsia" w:ascii="仿宋_GB2312" w:hAnsi="仿宋_GB2312" w:eastAsia="仿宋_GB2312" w:cs="Arial"/>
          <w:color w:val="000000"/>
          <w:kern w:val="0"/>
          <w:sz w:val="32"/>
          <w:szCs w:val="22"/>
          <w:lang w:val="en-US" w:eastAsia="zh-CN"/>
        </w:rPr>
        <w:t xml:space="preserve"> 工作组以公函形式，将标准工作组讨论稿发放至农业技术推广机构、第三方检测实验室、相关研究及行业机构、荔枝种植专业户等各类主体，广泛公开征集意见。在全面汇总梳理各方反馈建议、系统研读相关文献资料的基础上，工作组多次召开标准起草专题工作会议，围绕标准核心技术指标的确定依据及各项技术内容开展深度研讨，充分吸纳专家及行业合理意见，对标准的技术指标、检验规则、标识要求等内容逐一优化完善，最终形成《地理标志产品质量要求 雷岭荔枝》（征求意见稿）及配套编制说明。</w:t>
      </w:r>
    </w:p>
    <w:p w14:paraId="2569DC2D">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三</w:t>
      </w:r>
      <w:r>
        <w:rPr>
          <w:rFonts w:hint="eastAsia" w:ascii="黑体" w:hAnsi="黑体" w:eastAsia="黑体"/>
          <w:sz w:val="32"/>
          <w:szCs w:val="32"/>
          <w:lang w:eastAsia="zh-CN"/>
        </w:rPr>
        <w:t>、编制原则</w:t>
      </w:r>
    </w:p>
    <w:p w14:paraId="3C0AD99C">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1.协调性原则</w:t>
      </w:r>
    </w:p>
    <w:p w14:paraId="36C3506C">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本标准与现行法律法规、强制性食品安全国标、荔枝行业标准保持协调统一，引用文件均为现行有效版本，条款无冲突、无重复，与《雷岭荔枝地理标志证明商标使用管理规则》配套衔接，形成完整的地理标志产品标准化管控体系。</w:t>
      </w:r>
    </w:p>
    <w:p w14:paraId="48C40389">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2.科学性与实用性结合原则</w:t>
      </w:r>
    </w:p>
    <w:p w14:paraId="24FFE7A6">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科学性：所有感官、理化指标均依托《雷岭荔枝地理标志证明商标使用管理规则》和样品检测数据确定；产地环境参数来源于《雷岭荔枝地理标志证明商标使用管理规则》；生产技术按荔枝相关国家标准、行业标准、文献资料以及种植专业户、农科专家、生产经营骨干企业进行梳理整合。</w:t>
      </w:r>
    </w:p>
    <w:p w14:paraId="5A10B4D7">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lang w:val="en-US" w:eastAsia="zh-CN"/>
        </w:rPr>
      </w:pPr>
      <w:r>
        <w:rPr>
          <w:rFonts w:hint="eastAsia" w:ascii="仿宋_GB2312" w:hAnsi="仿宋_GB2312" w:eastAsia="仿宋_GB2312" w:cs="Arial"/>
          <w:color w:val="000000"/>
          <w:kern w:val="0"/>
          <w:sz w:val="32"/>
          <w:szCs w:val="22"/>
          <w:lang w:val="en-US" w:eastAsia="zh-CN"/>
        </w:rPr>
        <w:t>——实用性：检验方法优先选用行业通用标准方法包装储运条款贴合本地采收、分选、冷链流通现状，降低果农、中小企业执行门槛，便于全产业链落地应用。</w:t>
      </w:r>
    </w:p>
    <w:p w14:paraId="311CEB0B">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3.针对性原则</w:t>
      </w:r>
    </w:p>
    <w:p w14:paraId="6E4F274F">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rPr>
      </w:pPr>
      <w:r>
        <w:rPr>
          <w:rFonts w:hint="eastAsia" w:ascii="仿宋_GB2312" w:hAnsi="仿宋_GB2312" w:eastAsia="仿宋_GB2312" w:cs="Arial"/>
          <w:color w:val="000000"/>
          <w:kern w:val="0"/>
          <w:sz w:val="32"/>
          <w:szCs w:val="22"/>
        </w:rPr>
        <w:t>聚焦</w:t>
      </w:r>
      <w:r>
        <w:rPr>
          <w:rFonts w:hint="eastAsia" w:ascii="仿宋_GB2312" w:hAnsi="仿宋_GB2312" w:eastAsia="仿宋_GB2312" w:cs="Arial"/>
          <w:color w:val="000000"/>
          <w:kern w:val="0"/>
          <w:sz w:val="32"/>
          <w:szCs w:val="22"/>
          <w:lang w:eastAsia="zh-CN"/>
        </w:rPr>
        <w:t>雷岭荔枝</w:t>
      </w:r>
      <w:r>
        <w:rPr>
          <w:rFonts w:hint="eastAsia" w:ascii="仿宋_GB2312" w:hAnsi="仿宋_GB2312" w:eastAsia="仿宋_GB2312" w:cs="Arial"/>
          <w:color w:val="000000"/>
          <w:kern w:val="0"/>
          <w:sz w:val="32"/>
          <w:szCs w:val="22"/>
        </w:rPr>
        <w:t>地理标志专属属性，划定法定产地边界，建立区别于其他产区</w:t>
      </w:r>
      <w:r>
        <w:rPr>
          <w:rFonts w:hint="eastAsia" w:ascii="仿宋_GB2312" w:hAnsi="仿宋_GB2312" w:eastAsia="仿宋_GB2312" w:cs="Arial"/>
          <w:color w:val="000000"/>
          <w:kern w:val="0"/>
          <w:sz w:val="32"/>
          <w:szCs w:val="22"/>
          <w:lang w:eastAsia="zh-CN"/>
        </w:rPr>
        <w:t>雷岭荔枝</w:t>
      </w:r>
      <w:r>
        <w:rPr>
          <w:rFonts w:hint="eastAsia" w:ascii="仿宋_GB2312" w:hAnsi="仿宋_GB2312" w:eastAsia="仿宋_GB2312" w:cs="Arial"/>
          <w:color w:val="000000"/>
          <w:kern w:val="0"/>
          <w:sz w:val="32"/>
          <w:szCs w:val="22"/>
        </w:rPr>
        <w:t>的量化理化判定指标，专门解决市场假冒、品牌管控无标准依据等产业痛点。</w:t>
      </w:r>
    </w:p>
    <w:p w14:paraId="5D3A3D76">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四</w:t>
      </w:r>
      <w:r>
        <w:rPr>
          <w:rFonts w:hint="eastAsia" w:ascii="黑体" w:hAnsi="黑体" w:eastAsia="黑体" w:cs="黑体"/>
          <w:color w:val="000000"/>
          <w:kern w:val="0"/>
          <w:sz w:val="32"/>
          <w:szCs w:val="22"/>
        </w:rPr>
        <w:t>、主要技术内容说明</w:t>
      </w:r>
    </w:p>
    <w:p w14:paraId="7C50AD3E">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1.范围</w:t>
      </w:r>
    </w:p>
    <w:p w14:paraId="2936B58E">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22"/>
        </w:rPr>
      </w:pPr>
      <w:r>
        <w:rPr>
          <w:rFonts w:hint="eastAsia" w:ascii="仿宋_GB2312" w:hAnsi="仿宋_GB2312" w:eastAsia="仿宋_GB2312" w:cs="Arial"/>
          <w:color w:val="000000"/>
          <w:kern w:val="0"/>
          <w:sz w:val="32"/>
          <w:szCs w:val="22"/>
        </w:rPr>
        <w:t>本</w:t>
      </w:r>
      <w:r>
        <w:rPr>
          <w:rFonts w:hint="eastAsia" w:ascii="仿宋_GB2312" w:hAnsi="仿宋_GB2312" w:eastAsia="仿宋_GB2312" w:cs="Arial"/>
          <w:color w:val="000000"/>
          <w:kern w:val="0"/>
          <w:sz w:val="32"/>
          <w:szCs w:val="22"/>
          <w:lang w:val="en-US" w:eastAsia="zh-CN"/>
        </w:rPr>
        <w:t>标准</w:t>
      </w:r>
      <w:r>
        <w:rPr>
          <w:rFonts w:hint="eastAsia" w:ascii="仿宋_GB2312" w:hAnsi="仿宋_GB2312" w:eastAsia="仿宋_GB2312" w:cs="Arial"/>
          <w:color w:val="000000"/>
          <w:kern w:val="0"/>
          <w:sz w:val="32"/>
          <w:szCs w:val="22"/>
        </w:rPr>
        <w:t>界定了地理标志产品</w:t>
      </w:r>
      <w:r>
        <w:rPr>
          <w:rFonts w:hint="eastAsia" w:ascii="仿宋_GB2312" w:hAnsi="仿宋_GB2312" w:eastAsia="仿宋_GB2312" w:cs="Arial"/>
          <w:color w:val="000000"/>
          <w:kern w:val="0"/>
          <w:sz w:val="32"/>
          <w:szCs w:val="22"/>
          <w:lang w:eastAsia="zh-CN"/>
        </w:rPr>
        <w:t>雷岭荔枝</w:t>
      </w:r>
      <w:r>
        <w:rPr>
          <w:rFonts w:hint="eastAsia" w:ascii="仿宋_GB2312" w:hAnsi="仿宋_GB2312" w:eastAsia="仿宋_GB2312" w:cs="Arial"/>
          <w:color w:val="000000"/>
          <w:kern w:val="0"/>
          <w:sz w:val="32"/>
          <w:szCs w:val="22"/>
        </w:rPr>
        <w:t>的术语和定义，规定了产地范围、产地环境、技术要</w:t>
      </w:r>
      <w:r>
        <w:rPr>
          <w:rFonts w:hint="eastAsia" w:ascii="仿宋_GB2312" w:hAnsi="仿宋_GB2312" w:eastAsia="仿宋_GB2312" w:cs="Arial"/>
          <w:color w:val="000000"/>
          <w:kern w:val="0"/>
          <w:sz w:val="32"/>
          <w:szCs w:val="22"/>
          <w:lang w:eastAsia="zh-CN"/>
        </w:rPr>
        <w:t>求、质量要求、检验规则</w:t>
      </w:r>
      <w:r>
        <w:rPr>
          <w:rFonts w:hint="eastAsia" w:ascii="仿宋_GB2312" w:hAnsi="仿宋_GB2312" w:eastAsia="仿宋_GB2312" w:cs="Arial"/>
          <w:color w:val="000000"/>
          <w:kern w:val="0"/>
          <w:sz w:val="32"/>
          <w:szCs w:val="22"/>
        </w:rPr>
        <w:t>、标志、标签、包装、运</w:t>
      </w:r>
      <w:r>
        <w:rPr>
          <w:rFonts w:hint="eastAsia" w:ascii="仿宋_GB2312" w:hAnsi="仿宋_GB2312" w:eastAsia="仿宋_GB2312" w:cs="Arial"/>
          <w:color w:val="000000"/>
          <w:kern w:val="0"/>
          <w:sz w:val="32"/>
          <w:szCs w:val="22"/>
          <w:lang w:eastAsia="zh-CN"/>
        </w:rPr>
        <w:t>输和贮存的要求</w:t>
      </w:r>
      <w:r>
        <w:rPr>
          <w:rFonts w:hint="eastAsia" w:ascii="仿宋_GB2312" w:hAnsi="仿宋_GB2312" w:eastAsia="仿宋_GB2312" w:cs="Arial"/>
          <w:color w:val="000000"/>
          <w:kern w:val="0"/>
          <w:sz w:val="32"/>
          <w:szCs w:val="22"/>
        </w:rPr>
        <w:t>，描述了相应的检验方法。</w:t>
      </w:r>
    </w:p>
    <w:p w14:paraId="164D192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Arial"/>
          <w:color w:val="000000"/>
          <w:kern w:val="0"/>
          <w:sz w:val="32"/>
          <w:szCs w:val="22"/>
        </w:rPr>
      </w:pPr>
      <w:r>
        <w:rPr>
          <w:rFonts w:hint="eastAsia" w:ascii="仿宋_GB2312" w:hAnsi="仿宋_GB2312" w:eastAsia="仿宋_GB2312" w:cs="Arial"/>
          <w:color w:val="000000"/>
          <w:kern w:val="0"/>
          <w:sz w:val="32"/>
          <w:szCs w:val="22"/>
        </w:rPr>
        <w:t>本</w:t>
      </w:r>
      <w:r>
        <w:rPr>
          <w:rFonts w:hint="eastAsia" w:ascii="仿宋_GB2312" w:hAnsi="仿宋_GB2312" w:eastAsia="仿宋_GB2312" w:cs="Arial"/>
          <w:color w:val="000000"/>
          <w:kern w:val="0"/>
          <w:sz w:val="32"/>
          <w:szCs w:val="22"/>
          <w:lang w:val="en-US" w:eastAsia="zh-CN"/>
        </w:rPr>
        <w:t>标准</w:t>
      </w:r>
      <w:r>
        <w:rPr>
          <w:rFonts w:hint="eastAsia" w:ascii="仿宋_GB2312" w:hAnsi="仿宋_GB2312" w:eastAsia="仿宋_GB2312" w:cs="Arial"/>
          <w:color w:val="000000"/>
          <w:kern w:val="0"/>
          <w:sz w:val="32"/>
          <w:szCs w:val="22"/>
        </w:rPr>
        <w:t>适用于地理标志产品</w:t>
      </w:r>
      <w:r>
        <w:rPr>
          <w:rFonts w:hint="eastAsia" w:ascii="仿宋_GB2312" w:hAnsi="仿宋_GB2312" w:eastAsia="仿宋_GB2312" w:cs="Arial"/>
          <w:color w:val="000000"/>
          <w:kern w:val="0"/>
          <w:sz w:val="32"/>
          <w:szCs w:val="22"/>
          <w:lang w:eastAsia="zh-CN"/>
        </w:rPr>
        <w:t>雷岭荔枝</w:t>
      </w:r>
      <w:r>
        <w:rPr>
          <w:rFonts w:hint="eastAsia" w:ascii="仿宋_GB2312" w:hAnsi="仿宋_GB2312" w:eastAsia="仿宋_GB2312" w:cs="Arial"/>
          <w:color w:val="000000"/>
          <w:kern w:val="0"/>
          <w:sz w:val="32"/>
          <w:szCs w:val="22"/>
        </w:rPr>
        <w:t>的生产、流通、检验，亦适用于地理标志产品</w:t>
      </w:r>
      <w:r>
        <w:rPr>
          <w:rFonts w:hint="eastAsia" w:ascii="仿宋_GB2312" w:hAnsi="仿宋_GB2312" w:eastAsia="仿宋_GB2312" w:cs="Arial"/>
          <w:color w:val="000000"/>
          <w:kern w:val="0"/>
          <w:sz w:val="32"/>
          <w:szCs w:val="22"/>
          <w:lang w:eastAsia="zh-CN"/>
        </w:rPr>
        <w:t>雷岭荔枝</w:t>
      </w:r>
      <w:r>
        <w:rPr>
          <w:rFonts w:hint="eastAsia" w:ascii="仿宋_GB2312" w:hAnsi="仿宋_GB2312" w:eastAsia="仿宋_GB2312" w:cs="Arial"/>
          <w:color w:val="000000"/>
          <w:kern w:val="0"/>
          <w:sz w:val="32"/>
          <w:szCs w:val="22"/>
        </w:rPr>
        <w:t>的保护和管理。</w:t>
      </w:r>
    </w:p>
    <w:p w14:paraId="4EA53584">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2.规范性引用文件</w:t>
      </w:r>
    </w:p>
    <w:p w14:paraId="68B3925B">
      <w:pPr>
        <w:pStyle w:val="26"/>
        <w:ind w:firstLine="420"/>
        <w:rPr>
          <w:rFonts w:hint="eastAsia" w:ascii="仿宋_GB2312" w:hAnsi="仿宋_GB2312" w:eastAsia="仿宋_GB2312" w:cs="仿宋_GB2312"/>
          <w:color w:val="000000"/>
          <w:kern w:val="0"/>
          <w:sz w:val="32"/>
          <w:szCs w:val="22"/>
          <w:lang w:val="en-US" w:eastAsia="zh-CN" w:bidi="ar-SA"/>
        </w:rPr>
      </w:pPr>
      <w:r>
        <w:rPr>
          <w:rFonts w:hint="eastAsia" w:ascii="仿宋_GB2312" w:hAnsi="仿宋_GB2312" w:eastAsia="仿宋_GB2312" w:cs="仿宋_GB2312"/>
          <w:color w:val="000000"/>
          <w:kern w:val="0"/>
          <w:sz w:val="32"/>
          <w:szCs w:val="22"/>
          <w:lang w:val="en-US" w:eastAsia="zh-CN" w:bidi="ar-SA"/>
        </w:rPr>
        <w:t>列出标准编制过程中引用的核心文件，NY/T 496《肥料合理使用准则 通则》、NY/T 1478《热带作物主要病虫害防治技术规程 荔枝》分别指导雷岭荔枝肥料的使用、病虫害的防治；GB/T 8855《新鲜水果和蔬菜取样方法》明确样品抽样操作规范；GB 5009.8《食品安全国家标准 食品中果糖、葡萄糖、蔗糖、麦芽糖、乳糖的测定》、GB 5009.86《食品中抗坏血酸的测定》、NY/T 2637《水果和蔬菜可溶性固形物含量的测定 折射仪法》、NY/T 1648—2026《荔枝质量分级》分别对应总糖、维生素 C、可溶性固形物、单果质量和感官品质的检测手段；NY/T 1530《龙眼、荔枝产后贮运保鲜技术规程》与 NY/T 1648—2026《荔枝质量分级》统一规范产品包装、运输及贮存相关技术要求，确保标准技术内容的合规性与一致性。</w:t>
      </w:r>
    </w:p>
    <w:p w14:paraId="74872518">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3.术语和定义</w:t>
      </w:r>
    </w:p>
    <w:p w14:paraId="650FF375">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本标准规定了“雷岭荔枝”“雷岭桂味荔枝”“</w:t>
      </w:r>
      <w:r>
        <w:rPr>
          <w:rFonts w:hint="default" w:ascii="仿宋_GB2312" w:hAnsi="仿宋_GB2312" w:eastAsia="仿宋_GB2312" w:cs="仿宋_GB2312"/>
          <w:color w:val="000000"/>
          <w:kern w:val="0"/>
          <w:sz w:val="32"/>
          <w:szCs w:val="22"/>
          <w:lang w:val="en-US" w:eastAsia="zh-CN"/>
        </w:rPr>
        <w:t>雷岭糯米糍荔枝</w:t>
      </w:r>
      <w:r>
        <w:rPr>
          <w:rFonts w:hint="eastAsia" w:ascii="仿宋_GB2312" w:hAnsi="仿宋_GB2312" w:eastAsia="仿宋_GB2312" w:cs="仿宋_GB2312"/>
          <w:color w:val="000000"/>
          <w:kern w:val="0"/>
          <w:sz w:val="32"/>
          <w:szCs w:val="22"/>
          <w:lang w:val="en-US" w:eastAsia="zh-CN"/>
        </w:rPr>
        <w:t>”术语和定义，明确三层限定条件：限定地理标志法定产地范围、限定桂味和糯米糍2个品种、限定产品满足本标准全部品质要求，统一行业表述口径，保障标准体系内部术语规范统一。</w:t>
      </w:r>
    </w:p>
    <w:p w14:paraId="61F71AC2">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4.产地范围</w:t>
      </w:r>
    </w:p>
    <w:p w14:paraId="123449DB">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明确划定雷岭镇15个社区（村）及对应经纬度地理边界，设置规范性附录附图，作为判定正宗雷岭荔枝的首要法定依据，与地理标志证明商标公告内容完全一致。</w:t>
      </w:r>
    </w:p>
    <w:p w14:paraId="664BA317">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5.产地环境</w:t>
      </w:r>
    </w:p>
    <w:p w14:paraId="296D1BF7">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分地理特征、气候、土壤、灌溉水质、环境空气五项作出硬性规定，产地环境要求依据《雷岭荔枝地理标志证明商标使用管理规则》的规定；水质、空气分别符合GB 5084、GB 3095二级标准，从源头保障果实品质形成环境。</w:t>
      </w:r>
    </w:p>
    <w:p w14:paraId="7DF2AF1F">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6.生产技术要求</w:t>
      </w:r>
    </w:p>
    <w:p w14:paraId="1A4BEC62">
      <w:pPr>
        <w:pStyle w:val="31"/>
        <w:numPr>
          <w:ilvl w:val="2"/>
          <w:numId w:val="0"/>
        </w:numPr>
        <w:bidi w:val="0"/>
        <w:ind w:leftChars="0" w:firstLine="640" w:firstLineChars="200"/>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限定品种为桂味、</w:t>
      </w:r>
      <w:r>
        <w:rPr>
          <w:rFonts w:hint="default" w:ascii="仿宋_GB2312" w:hAnsi="仿宋_GB2312" w:eastAsia="仿宋_GB2312" w:cs="仿宋_GB2312"/>
          <w:color w:val="000000"/>
          <w:kern w:val="0"/>
          <w:sz w:val="32"/>
          <w:szCs w:val="22"/>
          <w:lang w:val="en-US" w:eastAsia="zh-CN"/>
        </w:rPr>
        <w:t>糯米糍荔枝</w:t>
      </w:r>
      <w:r>
        <w:rPr>
          <w:rFonts w:hint="eastAsia" w:ascii="仿宋_GB2312" w:hAnsi="仿宋_GB2312" w:eastAsia="仿宋_GB2312" w:cs="仿宋_GB2312"/>
          <w:color w:val="000000"/>
          <w:kern w:val="0"/>
          <w:sz w:val="32"/>
          <w:szCs w:val="22"/>
          <w:lang w:val="en-US" w:eastAsia="zh-CN"/>
        </w:rPr>
        <w:t>，种苗选择、园地选择、定植、栽培管理、采收操作遵循荔枝生产技术要求条款，统一田间标准化管理，稳定果实基础品质。</w:t>
      </w:r>
    </w:p>
    <w:p w14:paraId="4316164B">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val="en-US" w:eastAsia="zh-CN" w:bidi="ar"/>
        </w:rPr>
        <w:t>7.</w:t>
      </w:r>
      <w:r>
        <w:rPr>
          <w:rFonts w:hint="eastAsia" w:ascii="楷体" w:hAnsi="楷体" w:eastAsia="楷体" w:cs="楷体"/>
          <w:b w:val="0"/>
          <w:bCs w:val="0"/>
          <w:color w:val="000000"/>
          <w:kern w:val="0"/>
          <w:sz w:val="32"/>
          <w:szCs w:val="32"/>
          <w:lang w:bidi="ar"/>
        </w:rPr>
        <w:t>质量要求</w:t>
      </w:r>
    </w:p>
    <w:p w14:paraId="7169B19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Arial"/>
          <w:color w:val="FF0000"/>
          <w:kern w:val="0"/>
          <w:sz w:val="32"/>
          <w:szCs w:val="22"/>
          <w:highlight w:val="yellow"/>
          <w:lang w:eastAsia="zh-CN"/>
        </w:rPr>
      </w:pPr>
      <w:r>
        <w:rPr>
          <w:rFonts w:hint="eastAsia" w:ascii="仿宋_GB2312" w:hAnsi="仿宋_GB2312" w:eastAsia="仿宋_GB2312" w:cs="仿宋_GB2312"/>
          <w:color w:val="000000"/>
          <w:kern w:val="0"/>
          <w:sz w:val="32"/>
          <w:szCs w:val="22"/>
          <w:lang w:val="en-US" w:eastAsia="zh-CN" w:bidi="ar-SA"/>
        </w:rPr>
        <w:t>从基本要求、感官、理化三个方面设置产品核心准入门槛。</w:t>
      </w:r>
    </w:p>
    <w:p w14:paraId="3C29E863">
      <w:pPr>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lang w:val="en-US" w:eastAsia="zh-CN"/>
        </w:rPr>
      </w:pPr>
      <w:r>
        <w:rPr>
          <w:rFonts w:hint="eastAsia" w:ascii="仿宋_GB2312" w:hAnsi="仿宋_GB2312" w:eastAsia="仿宋_GB2312" w:cs="Arial"/>
          <w:b/>
          <w:bCs/>
          <w:color w:val="000000"/>
          <w:kern w:val="0"/>
          <w:sz w:val="32"/>
          <w:szCs w:val="22"/>
          <w:lang w:val="en-US" w:eastAsia="zh-CN"/>
        </w:rPr>
        <w:t>基本要求</w:t>
      </w:r>
    </w:p>
    <w:p w14:paraId="09092CD4">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基本要求为鲜荔枝通用质量要求，参考现行行业标准和地方标准的基础性规定。雷岭荔枝应符合以下要求：</w:t>
      </w:r>
    </w:p>
    <w:p w14:paraId="36875ECF">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——果实具有成熟时的固有特征。</w:t>
      </w:r>
    </w:p>
    <w:p w14:paraId="5B3FE80E">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——果实新鲜，无腐烂，无变质，无异味。</w:t>
      </w:r>
    </w:p>
    <w:p w14:paraId="44BC4A72">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——果实完整，无严重缺陷。</w:t>
      </w:r>
    </w:p>
    <w:p w14:paraId="62E77D01">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——果面洁净，无可见异物。</w:t>
      </w:r>
    </w:p>
    <w:p w14:paraId="500A1C79">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——表面无异常外来水分（冷藏取出后形成的凝结水及预冷处理残留水除外）。</w:t>
      </w:r>
    </w:p>
    <w:p w14:paraId="5DE3CDB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lang w:val="en-US" w:eastAsia="zh-CN"/>
        </w:rPr>
      </w:pPr>
      <w:r>
        <w:rPr>
          <w:rFonts w:hint="eastAsia" w:ascii="仿宋_GB2312" w:hAnsi="仿宋_GB2312" w:eastAsia="仿宋_GB2312" w:cs="Arial"/>
          <w:b/>
          <w:bCs/>
          <w:color w:val="000000"/>
          <w:kern w:val="0"/>
          <w:sz w:val="32"/>
          <w:szCs w:val="22"/>
          <w:lang w:val="en-US" w:eastAsia="zh-CN"/>
        </w:rPr>
        <w:t>（2）感官指标</w:t>
      </w:r>
    </w:p>
    <w:p w14:paraId="408AA20F">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应符合表1的规定。</w:t>
      </w:r>
    </w:p>
    <w:p w14:paraId="106F949D">
      <w:pPr>
        <w:keepNext w:val="0"/>
        <w:keepLines w:val="0"/>
        <w:pageBreakBefore w:val="0"/>
        <w:numPr>
          <w:ilvl w:val="0"/>
          <w:numId w:val="7"/>
        </w:numPr>
        <w:tabs>
          <w:tab w:val="left" w:pos="0"/>
        </w:tabs>
        <w:kinsoku/>
        <w:wordWrap/>
        <w:overflowPunct/>
        <w:topLinePunct w:val="0"/>
        <w:bidi w:val="0"/>
        <w:adjustRightInd/>
        <w:snapToGrid/>
        <w:spacing w:before="120" w:beforeLines="50" w:after="120" w:afterLines="50" w:line="560" w:lineRule="exact"/>
        <w:ind w:left="0" w:firstLine="0"/>
        <w:jc w:val="center"/>
        <w:textAlignment w:val="auto"/>
        <w:rPr>
          <w:rFonts w:ascii="黑体" w:hAnsi="Times New Roman" w:eastAsia="黑体" w:cs="Times New Roman"/>
          <w:kern w:val="0"/>
          <w:sz w:val="21"/>
          <w:szCs w:val="22"/>
          <w:lang w:val="en-US" w:eastAsia="zh-CN" w:bidi="ar-SA"/>
        </w:rPr>
      </w:pPr>
      <w:r>
        <w:rPr>
          <w:rFonts w:hint="eastAsia" w:ascii="黑体" w:hAnsi="Times New Roman" w:eastAsia="黑体" w:cs="Times New Roman"/>
          <w:kern w:val="0"/>
          <w:sz w:val="21"/>
          <w:szCs w:val="22"/>
          <w:lang w:val="en-US" w:eastAsia="zh-CN" w:bidi="ar-SA"/>
        </w:rPr>
        <w:t>感官指标</w:t>
      </w:r>
    </w:p>
    <w:tbl>
      <w:tblPr>
        <w:tblStyle w:val="27"/>
        <w:tblW w:w="94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582"/>
        <w:gridCol w:w="611"/>
        <w:gridCol w:w="814"/>
        <w:gridCol w:w="2824"/>
        <w:gridCol w:w="2722"/>
        <w:gridCol w:w="1887"/>
      </w:tblGrid>
      <w:tr w14:paraId="6A8E5F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582" w:type="dxa"/>
            <w:tcBorders>
              <w:bottom w:val="single" w:color="auto" w:sz="8" w:space="0"/>
            </w:tcBorders>
            <w:vAlign w:val="center"/>
          </w:tcPr>
          <w:p w14:paraId="38AD0FE2">
            <w:pPr>
              <w:pStyle w:val="26"/>
              <w:ind w:left="0" w:leftChars="0" w:firstLine="0" w:firstLineChars="0"/>
              <w:jc w:val="center"/>
              <w:rPr>
                <w:rFonts w:ascii="Times New Roman" w:hAnsi="Times New Roman" w:cs="Times New Roman"/>
                <w:kern w:val="0"/>
                <w:sz w:val="18"/>
                <w:szCs w:val="20"/>
              </w:rPr>
            </w:pPr>
            <w:r>
              <w:rPr>
                <w:rFonts w:hint="eastAsia" w:ascii="宋体" w:hAnsi="宋体" w:eastAsia="宋体" w:cs="宋体"/>
                <w:sz w:val="18"/>
                <w:lang w:val="en-US" w:eastAsia="zh-CN" w:bidi="ar-SA"/>
              </w:rPr>
              <w:t>序号</w:t>
            </w:r>
          </w:p>
        </w:tc>
        <w:tc>
          <w:tcPr>
            <w:tcW w:w="1425" w:type="dxa"/>
            <w:gridSpan w:val="2"/>
            <w:tcBorders>
              <w:bottom w:val="single" w:color="auto" w:sz="8" w:space="0"/>
            </w:tcBorders>
            <w:vAlign w:val="center"/>
          </w:tcPr>
          <w:p w14:paraId="70100B73">
            <w:pPr>
              <w:pStyle w:val="26"/>
              <w:ind w:left="0" w:leftChars="0" w:firstLine="0" w:firstLineChars="0"/>
              <w:jc w:val="center"/>
              <w:rPr>
                <w:rFonts w:ascii="Times New Roman" w:hAnsi="Times New Roman" w:cs="Times New Roman"/>
                <w:kern w:val="0"/>
                <w:sz w:val="18"/>
                <w:szCs w:val="20"/>
              </w:rPr>
            </w:pPr>
            <w:r>
              <w:rPr>
                <w:rFonts w:hint="eastAsia" w:ascii="宋体" w:hAnsi="Times New Roman"/>
                <w:kern w:val="0"/>
                <w:sz w:val="18"/>
                <w:szCs w:val="18"/>
              </w:rPr>
              <w:t>项目</w:t>
            </w:r>
          </w:p>
        </w:tc>
        <w:tc>
          <w:tcPr>
            <w:tcW w:w="2824" w:type="dxa"/>
            <w:tcBorders>
              <w:bottom w:val="single" w:color="auto" w:sz="8" w:space="0"/>
            </w:tcBorders>
            <w:vAlign w:val="center"/>
          </w:tcPr>
          <w:p w14:paraId="50B3E7E9">
            <w:pPr>
              <w:jc w:val="center"/>
              <w:rPr>
                <w:rFonts w:ascii="Times New Roman" w:hAnsi="Times New Roman" w:cs="Times New Roman"/>
                <w:kern w:val="0"/>
                <w:sz w:val="18"/>
                <w:szCs w:val="20"/>
              </w:rPr>
            </w:pPr>
            <w:r>
              <w:rPr>
                <w:rFonts w:hint="eastAsia"/>
                <w:sz w:val="18"/>
                <w:szCs w:val="18"/>
              </w:rPr>
              <w:t>雷岭桂味荔枝</w:t>
            </w:r>
          </w:p>
        </w:tc>
        <w:tc>
          <w:tcPr>
            <w:tcW w:w="2722" w:type="dxa"/>
            <w:tcBorders>
              <w:bottom w:val="single" w:color="auto" w:sz="8" w:space="0"/>
            </w:tcBorders>
            <w:vAlign w:val="center"/>
          </w:tcPr>
          <w:p w14:paraId="4FDD8E8E">
            <w:pPr>
              <w:jc w:val="center"/>
              <w:rPr>
                <w:rFonts w:ascii="Times New Roman" w:hAnsi="Times New Roman" w:cs="Times New Roman"/>
                <w:kern w:val="0"/>
                <w:sz w:val="18"/>
                <w:szCs w:val="20"/>
              </w:rPr>
            </w:pPr>
            <w:r>
              <w:rPr>
                <w:rFonts w:hint="eastAsia"/>
                <w:sz w:val="18"/>
                <w:szCs w:val="18"/>
              </w:rPr>
              <w:t>雷岭糯米糍荔枝</w:t>
            </w:r>
          </w:p>
        </w:tc>
        <w:tc>
          <w:tcPr>
            <w:tcW w:w="1887" w:type="dxa"/>
            <w:tcBorders>
              <w:bottom w:val="single" w:color="auto" w:sz="8" w:space="0"/>
            </w:tcBorders>
            <w:vAlign w:val="center"/>
          </w:tcPr>
          <w:p w14:paraId="2BFFA7B1">
            <w:pPr>
              <w:widowControl/>
              <w:autoSpaceDE w:val="0"/>
              <w:autoSpaceDN w:val="0"/>
              <w:adjustRightInd/>
              <w:spacing w:line="240" w:lineRule="auto"/>
              <w:jc w:val="center"/>
              <w:rPr>
                <w:rFonts w:hint="default" w:ascii="Times New Roman" w:hAnsi="Times New Roman" w:eastAsia="宋体" w:cs="Times New Roman"/>
                <w:kern w:val="0"/>
                <w:sz w:val="18"/>
                <w:szCs w:val="20"/>
                <w:lang w:val="en-US" w:eastAsia="zh-CN"/>
              </w:rPr>
            </w:pPr>
            <w:r>
              <w:rPr>
                <w:rFonts w:hint="eastAsia" w:ascii="Times New Roman" w:hAnsi="Times New Roman" w:cs="Times New Roman"/>
                <w:kern w:val="0"/>
                <w:sz w:val="18"/>
                <w:szCs w:val="20"/>
                <w:lang w:val="en-US" w:eastAsia="zh-CN"/>
              </w:rPr>
              <w:t>指标说明</w:t>
            </w:r>
          </w:p>
        </w:tc>
      </w:tr>
      <w:tr w14:paraId="73074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30D83955">
            <w:pPr>
              <w:pStyle w:val="30"/>
              <w:ind w:firstLine="0" w:firstLineChars="0"/>
              <w:jc w:val="center"/>
              <w:rPr>
                <w:rFonts w:ascii="Times New Roman" w:hAnsi="Times New Roman" w:cs="Times New Roman"/>
                <w:kern w:val="0"/>
                <w:sz w:val="18"/>
                <w:szCs w:val="20"/>
              </w:rPr>
            </w:pPr>
            <w:r>
              <w:rPr>
                <w:rFonts w:hint="eastAsia" w:hAnsi="宋体" w:cs="宋体"/>
                <w:lang w:val="en-US" w:eastAsia="zh-CN"/>
              </w:rPr>
              <w:t>1</w:t>
            </w:r>
          </w:p>
        </w:tc>
        <w:tc>
          <w:tcPr>
            <w:tcW w:w="1425" w:type="dxa"/>
            <w:gridSpan w:val="2"/>
            <w:vAlign w:val="center"/>
          </w:tcPr>
          <w:p w14:paraId="189FD803">
            <w:pPr>
              <w:pStyle w:val="30"/>
              <w:ind w:firstLine="0" w:firstLineChars="0"/>
              <w:rPr>
                <w:rFonts w:ascii="Times New Roman" w:hAnsi="Times New Roman" w:cs="Times New Roman"/>
                <w:kern w:val="0"/>
                <w:sz w:val="18"/>
                <w:szCs w:val="20"/>
              </w:rPr>
            </w:pPr>
            <w:r>
              <w:rPr>
                <w:rFonts w:hint="eastAsia"/>
                <w:color w:val="auto"/>
              </w:rPr>
              <w:t>果形</w:t>
            </w:r>
          </w:p>
        </w:tc>
        <w:tc>
          <w:tcPr>
            <w:tcW w:w="2824" w:type="dxa"/>
            <w:vAlign w:val="top"/>
          </w:tcPr>
          <w:p w14:paraId="5AF3A109">
            <w:pPr>
              <w:jc w:val="center"/>
              <w:rPr>
                <w:rFonts w:ascii="Times New Roman" w:hAnsi="Times New Roman" w:cs="Times New Roman"/>
                <w:kern w:val="0"/>
                <w:sz w:val="18"/>
                <w:szCs w:val="20"/>
              </w:rPr>
            </w:pPr>
            <w:r>
              <w:rPr>
                <w:rFonts w:hint="eastAsia" w:ascii="宋体" w:hAnsi="宋体" w:eastAsia="宋体" w:cs="宋体"/>
                <w:color w:val="auto"/>
                <w:sz w:val="18"/>
                <w:szCs w:val="18"/>
                <w:lang w:val="en-US" w:eastAsia="zh-CN"/>
              </w:rPr>
              <w:t>圆球形或近圆球形</w:t>
            </w:r>
          </w:p>
        </w:tc>
        <w:tc>
          <w:tcPr>
            <w:tcW w:w="2722" w:type="dxa"/>
            <w:vAlign w:val="top"/>
          </w:tcPr>
          <w:p w14:paraId="33BF7893">
            <w:pPr>
              <w:jc w:val="center"/>
              <w:rPr>
                <w:rFonts w:ascii="Times New Roman" w:hAnsi="Times New Roman" w:cs="Times New Roman"/>
                <w:kern w:val="0"/>
                <w:sz w:val="18"/>
                <w:szCs w:val="20"/>
              </w:rPr>
            </w:pPr>
            <w:r>
              <w:rPr>
                <w:rFonts w:hint="eastAsia" w:ascii="宋体" w:hAnsi="宋体" w:eastAsia="宋体" w:cs="宋体"/>
                <w:color w:val="auto"/>
                <w:sz w:val="18"/>
                <w:szCs w:val="18"/>
                <w:lang w:val="en-US" w:eastAsia="zh-CN"/>
              </w:rPr>
              <w:t>扁心形</w:t>
            </w:r>
          </w:p>
        </w:tc>
        <w:tc>
          <w:tcPr>
            <w:tcW w:w="1887" w:type="dxa"/>
            <w:vMerge w:val="restart"/>
            <w:vAlign w:val="center"/>
          </w:tcPr>
          <w:p w14:paraId="0D992D0F">
            <w:pPr>
              <w:widowControl/>
              <w:autoSpaceDE w:val="0"/>
              <w:autoSpaceDN w:val="0"/>
              <w:adjustRightInd/>
              <w:spacing w:line="240" w:lineRule="auto"/>
              <w:jc w:val="both"/>
              <w:rPr>
                <w:rFonts w:ascii="Times New Roman" w:hAnsi="Times New Roman" w:cs="Times New Roman"/>
                <w:kern w:val="0"/>
                <w:sz w:val="18"/>
                <w:szCs w:val="20"/>
              </w:rPr>
            </w:pPr>
            <w:r>
              <w:rPr>
                <w:rFonts w:hint="eastAsia" w:ascii="Times New Roman" w:hAnsi="Times New Roman" w:eastAsia="宋体" w:cs="Times New Roman"/>
                <w:kern w:val="0"/>
                <w:sz w:val="18"/>
                <w:szCs w:val="20"/>
                <w:lang w:val="en-US" w:eastAsia="zh-CN" w:bidi="ar-SA"/>
              </w:rPr>
              <w:t>来源于《</w:t>
            </w:r>
            <w:r>
              <w:rPr>
                <w:rFonts w:hint="eastAsia" w:cs="Times New Roman"/>
                <w:kern w:val="0"/>
                <w:sz w:val="18"/>
                <w:szCs w:val="20"/>
                <w:lang w:val="en-US" w:eastAsia="zh-CN" w:bidi="ar-SA"/>
              </w:rPr>
              <w:t>雷岭荔枝</w:t>
            </w:r>
            <w:r>
              <w:rPr>
                <w:rFonts w:hint="eastAsia" w:ascii="Times New Roman" w:hAnsi="Times New Roman" w:eastAsia="宋体" w:cs="Times New Roman"/>
                <w:kern w:val="0"/>
                <w:sz w:val="18"/>
                <w:szCs w:val="20"/>
                <w:lang w:val="en-US" w:eastAsia="zh-CN" w:bidi="ar-SA"/>
              </w:rPr>
              <w:t>地理标志证明商标使用管理规则》</w:t>
            </w:r>
          </w:p>
        </w:tc>
      </w:tr>
      <w:tr w14:paraId="1991C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59D8CF6E">
            <w:pPr>
              <w:pStyle w:val="30"/>
              <w:ind w:firstLine="0" w:firstLineChars="0"/>
              <w:jc w:val="center"/>
              <w:rPr>
                <w:rFonts w:ascii="Times New Roman" w:hAnsi="Times New Roman" w:cs="Times New Roman"/>
                <w:kern w:val="0"/>
                <w:sz w:val="18"/>
                <w:szCs w:val="20"/>
              </w:rPr>
            </w:pPr>
            <w:r>
              <w:rPr>
                <w:rFonts w:hint="eastAsia" w:hAnsi="宋体" w:cs="宋体"/>
                <w:lang w:val="en-US" w:eastAsia="zh-CN"/>
              </w:rPr>
              <w:t>2</w:t>
            </w:r>
          </w:p>
        </w:tc>
        <w:tc>
          <w:tcPr>
            <w:tcW w:w="1425" w:type="dxa"/>
            <w:gridSpan w:val="2"/>
            <w:vAlign w:val="center"/>
          </w:tcPr>
          <w:p w14:paraId="00E4E090">
            <w:pPr>
              <w:pStyle w:val="30"/>
              <w:ind w:firstLine="0" w:firstLineChars="0"/>
            </w:pPr>
            <w:r>
              <w:rPr>
                <w:rFonts w:hint="eastAsia"/>
                <w:color w:val="auto"/>
              </w:rPr>
              <w:t>果色</w:t>
            </w:r>
          </w:p>
        </w:tc>
        <w:tc>
          <w:tcPr>
            <w:tcW w:w="2824" w:type="dxa"/>
            <w:vAlign w:val="center"/>
          </w:tcPr>
          <w:p w14:paraId="403F80FE">
            <w:pPr>
              <w:keepNext w:val="0"/>
              <w:keepLines w:val="0"/>
              <w:widowControl/>
              <w:suppressLineNumbers w:val="0"/>
              <w:jc w:val="center"/>
              <w:rPr>
                <w:rFonts w:ascii="Times New Roman" w:hAnsi="Times New Roman" w:cs="Times New Roman"/>
                <w:kern w:val="0"/>
                <w:sz w:val="18"/>
                <w:szCs w:val="20"/>
              </w:rPr>
            </w:pPr>
            <w:r>
              <w:rPr>
                <w:rFonts w:hint="eastAsia"/>
                <w:color w:val="auto"/>
                <w:sz w:val="18"/>
                <w:szCs w:val="18"/>
                <w:lang w:val="en-US" w:eastAsia="zh-CN"/>
              </w:rPr>
              <w:t>浅红色</w:t>
            </w:r>
          </w:p>
        </w:tc>
        <w:tc>
          <w:tcPr>
            <w:tcW w:w="2722" w:type="dxa"/>
            <w:vAlign w:val="center"/>
          </w:tcPr>
          <w:p w14:paraId="61341519">
            <w:pPr>
              <w:keepNext w:val="0"/>
              <w:keepLines w:val="0"/>
              <w:widowControl/>
              <w:suppressLineNumbers w:val="0"/>
              <w:jc w:val="center"/>
              <w:rPr>
                <w:rFonts w:ascii="Times New Roman" w:hAnsi="Times New Roman" w:cs="Times New Roman"/>
                <w:kern w:val="0"/>
                <w:sz w:val="18"/>
                <w:szCs w:val="20"/>
              </w:rPr>
            </w:pPr>
            <w:r>
              <w:rPr>
                <w:rFonts w:hint="eastAsia"/>
                <w:color w:val="auto"/>
                <w:sz w:val="18"/>
                <w:szCs w:val="18"/>
              </w:rPr>
              <w:t>鲜红色</w:t>
            </w:r>
          </w:p>
        </w:tc>
        <w:tc>
          <w:tcPr>
            <w:tcW w:w="1887" w:type="dxa"/>
            <w:vMerge w:val="continue"/>
            <w:vAlign w:val="center"/>
          </w:tcPr>
          <w:p w14:paraId="5027FAFB">
            <w:pPr>
              <w:widowControl/>
              <w:autoSpaceDE w:val="0"/>
              <w:autoSpaceDN w:val="0"/>
              <w:adjustRightInd/>
              <w:spacing w:line="240" w:lineRule="auto"/>
              <w:jc w:val="center"/>
              <w:rPr>
                <w:rFonts w:ascii="Times New Roman" w:hAnsi="Times New Roman" w:cs="Times New Roman"/>
                <w:kern w:val="0"/>
                <w:sz w:val="18"/>
                <w:szCs w:val="20"/>
              </w:rPr>
            </w:pPr>
          </w:p>
        </w:tc>
      </w:tr>
      <w:tr w14:paraId="1E71D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7B04DC36">
            <w:pPr>
              <w:pStyle w:val="30"/>
              <w:ind w:firstLine="0" w:firstLineChars="0"/>
              <w:jc w:val="center"/>
              <w:rPr>
                <w:rFonts w:ascii="Times New Roman" w:hAnsi="Times New Roman" w:cs="Times New Roman"/>
                <w:kern w:val="0"/>
                <w:sz w:val="18"/>
                <w:szCs w:val="20"/>
              </w:rPr>
            </w:pPr>
            <w:r>
              <w:rPr>
                <w:rFonts w:hint="eastAsia" w:hAnsi="宋体" w:cs="宋体"/>
                <w:lang w:val="en-US" w:eastAsia="zh-CN"/>
              </w:rPr>
              <w:t>3</w:t>
            </w:r>
          </w:p>
        </w:tc>
        <w:tc>
          <w:tcPr>
            <w:tcW w:w="1425" w:type="dxa"/>
            <w:gridSpan w:val="2"/>
            <w:vAlign w:val="center"/>
          </w:tcPr>
          <w:p w14:paraId="5B7AF69C">
            <w:pPr>
              <w:pStyle w:val="30"/>
              <w:ind w:firstLine="0" w:firstLineChars="0"/>
            </w:pPr>
            <w:r>
              <w:rPr>
                <w:rFonts w:hint="eastAsia"/>
                <w:color w:val="auto"/>
                <w:highlight w:val="none"/>
              </w:rPr>
              <w:t>果肩</w:t>
            </w:r>
          </w:p>
        </w:tc>
        <w:tc>
          <w:tcPr>
            <w:tcW w:w="2824" w:type="dxa"/>
            <w:vAlign w:val="center"/>
          </w:tcPr>
          <w:p w14:paraId="52746B20">
            <w:pPr>
              <w:keepNext w:val="0"/>
              <w:keepLines w:val="0"/>
              <w:widowControl/>
              <w:suppressLineNumbers w:val="0"/>
              <w:jc w:val="center"/>
              <w:rPr>
                <w:rFonts w:ascii="Times New Roman" w:hAnsi="Times New Roman" w:cs="Times New Roman"/>
                <w:kern w:val="0"/>
                <w:sz w:val="18"/>
                <w:szCs w:val="20"/>
              </w:rPr>
            </w:pPr>
            <w:r>
              <w:rPr>
                <w:rFonts w:hint="eastAsia"/>
                <w:color w:val="auto"/>
                <w:sz w:val="18"/>
                <w:szCs w:val="18"/>
                <w:highlight w:val="none"/>
              </w:rPr>
              <w:t>平</w:t>
            </w:r>
          </w:p>
        </w:tc>
        <w:tc>
          <w:tcPr>
            <w:tcW w:w="2722" w:type="dxa"/>
            <w:vAlign w:val="center"/>
          </w:tcPr>
          <w:p w14:paraId="46421C5E">
            <w:pPr>
              <w:keepNext w:val="0"/>
              <w:keepLines w:val="0"/>
              <w:widowControl/>
              <w:suppressLineNumbers w:val="0"/>
              <w:jc w:val="center"/>
              <w:rPr>
                <w:rFonts w:ascii="Times New Roman" w:hAnsi="Times New Roman" w:cs="Times New Roman"/>
                <w:kern w:val="0"/>
                <w:sz w:val="18"/>
                <w:szCs w:val="20"/>
              </w:rPr>
            </w:pPr>
            <w:r>
              <w:rPr>
                <w:rFonts w:hint="eastAsia" w:ascii="宋体" w:hAnsi="宋体" w:eastAsia="宋体" w:cs="宋体"/>
                <w:color w:val="auto"/>
                <w:sz w:val="18"/>
                <w:szCs w:val="18"/>
                <w:highlight w:val="none"/>
                <w:lang w:val="en-US" w:eastAsia="zh-CN"/>
              </w:rPr>
              <w:t>一边高一边低</w:t>
            </w:r>
          </w:p>
        </w:tc>
        <w:tc>
          <w:tcPr>
            <w:tcW w:w="1887" w:type="dxa"/>
            <w:vMerge w:val="continue"/>
            <w:vAlign w:val="center"/>
          </w:tcPr>
          <w:p w14:paraId="13D5FB28">
            <w:pPr>
              <w:widowControl/>
              <w:autoSpaceDE w:val="0"/>
              <w:autoSpaceDN w:val="0"/>
              <w:adjustRightInd/>
              <w:spacing w:line="240" w:lineRule="auto"/>
              <w:jc w:val="center"/>
              <w:rPr>
                <w:rFonts w:ascii="Times New Roman" w:hAnsi="Times New Roman" w:cs="Times New Roman"/>
                <w:kern w:val="0"/>
                <w:sz w:val="18"/>
                <w:szCs w:val="20"/>
              </w:rPr>
            </w:pPr>
          </w:p>
        </w:tc>
      </w:tr>
      <w:tr w14:paraId="18FAF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21F776FF">
            <w:pPr>
              <w:pStyle w:val="30"/>
              <w:ind w:firstLine="0" w:firstLineChars="0"/>
              <w:jc w:val="center"/>
              <w:rPr>
                <w:rFonts w:ascii="Times New Roman" w:hAnsi="Times New Roman" w:cs="Times New Roman"/>
                <w:kern w:val="0"/>
                <w:sz w:val="18"/>
                <w:szCs w:val="20"/>
              </w:rPr>
            </w:pPr>
            <w:r>
              <w:rPr>
                <w:rFonts w:hint="eastAsia" w:hAnsi="宋体" w:cs="宋体"/>
                <w:lang w:val="en-US" w:eastAsia="zh-CN"/>
              </w:rPr>
              <w:t>4</w:t>
            </w:r>
          </w:p>
        </w:tc>
        <w:tc>
          <w:tcPr>
            <w:tcW w:w="1425" w:type="dxa"/>
            <w:gridSpan w:val="2"/>
            <w:vAlign w:val="center"/>
          </w:tcPr>
          <w:p w14:paraId="25BED100">
            <w:pPr>
              <w:keepNext w:val="0"/>
              <w:keepLines w:val="0"/>
              <w:widowControl/>
              <w:suppressLineNumbers w:val="0"/>
              <w:jc w:val="center"/>
            </w:pPr>
            <w:r>
              <w:rPr>
                <w:rFonts w:hint="eastAsia"/>
              </w:rPr>
              <w:t>果顶</w:t>
            </w:r>
          </w:p>
        </w:tc>
        <w:tc>
          <w:tcPr>
            <w:tcW w:w="2824" w:type="dxa"/>
            <w:vAlign w:val="center"/>
          </w:tcPr>
          <w:p w14:paraId="701C6112">
            <w:pPr>
              <w:keepNext w:val="0"/>
              <w:keepLines w:val="0"/>
              <w:widowControl/>
              <w:suppressLineNumbers w:val="0"/>
              <w:jc w:val="center"/>
              <w:rPr>
                <w:rFonts w:ascii="Times New Roman" w:hAnsi="Times New Roman" w:cs="Times New Roman"/>
                <w:kern w:val="0"/>
                <w:sz w:val="18"/>
                <w:szCs w:val="20"/>
              </w:rPr>
            </w:pPr>
            <w:r>
              <w:rPr>
                <w:rFonts w:hint="eastAsia"/>
                <w:sz w:val="18"/>
                <w:szCs w:val="18"/>
              </w:rPr>
              <w:t>浑圆</w:t>
            </w:r>
          </w:p>
        </w:tc>
        <w:tc>
          <w:tcPr>
            <w:tcW w:w="2722" w:type="dxa"/>
            <w:vAlign w:val="center"/>
          </w:tcPr>
          <w:p w14:paraId="10C197CC">
            <w:pPr>
              <w:keepNext w:val="0"/>
              <w:keepLines w:val="0"/>
              <w:widowControl/>
              <w:suppressLineNumbers w:val="0"/>
              <w:jc w:val="center"/>
              <w:rPr>
                <w:rFonts w:ascii="Times New Roman" w:hAnsi="Times New Roman" w:cs="Times New Roman"/>
                <w:kern w:val="0"/>
                <w:sz w:val="18"/>
                <w:szCs w:val="20"/>
              </w:rPr>
            </w:pPr>
            <w:r>
              <w:rPr>
                <w:rFonts w:hint="eastAsia"/>
                <w:sz w:val="18"/>
                <w:szCs w:val="18"/>
              </w:rPr>
              <w:t>浑圆</w:t>
            </w:r>
          </w:p>
        </w:tc>
        <w:tc>
          <w:tcPr>
            <w:tcW w:w="1887" w:type="dxa"/>
            <w:vMerge w:val="continue"/>
            <w:vAlign w:val="center"/>
          </w:tcPr>
          <w:p w14:paraId="2AA2E058">
            <w:pPr>
              <w:widowControl/>
              <w:autoSpaceDE w:val="0"/>
              <w:autoSpaceDN w:val="0"/>
              <w:adjustRightInd/>
              <w:spacing w:line="240" w:lineRule="auto"/>
              <w:jc w:val="center"/>
              <w:rPr>
                <w:rFonts w:ascii="Times New Roman" w:hAnsi="Times New Roman" w:cs="Times New Roman"/>
                <w:kern w:val="0"/>
                <w:sz w:val="18"/>
                <w:szCs w:val="20"/>
              </w:rPr>
            </w:pPr>
          </w:p>
        </w:tc>
      </w:tr>
      <w:tr w14:paraId="52680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4A458834">
            <w:pPr>
              <w:pStyle w:val="30"/>
              <w:ind w:firstLine="0" w:firstLineChars="0"/>
              <w:jc w:val="center"/>
              <w:rPr>
                <w:rFonts w:ascii="Times New Roman" w:hAnsi="Times New Roman" w:cs="Times New Roman"/>
                <w:kern w:val="0"/>
                <w:sz w:val="18"/>
                <w:szCs w:val="20"/>
              </w:rPr>
            </w:pPr>
            <w:r>
              <w:rPr>
                <w:rFonts w:hint="eastAsia" w:ascii="宋体" w:hAnsi="宋体" w:eastAsia="宋体" w:cs="宋体"/>
              </w:rPr>
              <w:t>5</w:t>
            </w:r>
          </w:p>
        </w:tc>
        <w:tc>
          <w:tcPr>
            <w:tcW w:w="611" w:type="dxa"/>
            <w:vMerge w:val="restart"/>
            <w:vAlign w:val="center"/>
          </w:tcPr>
          <w:p w14:paraId="4F793F4F">
            <w:pPr>
              <w:pStyle w:val="30"/>
              <w:ind w:firstLine="0" w:firstLineChars="0"/>
              <w:rPr>
                <w:rFonts w:ascii="Times New Roman" w:hAnsi="Times New Roman" w:cs="Times New Roman"/>
                <w:kern w:val="0"/>
                <w:sz w:val="18"/>
                <w:szCs w:val="20"/>
              </w:rPr>
            </w:pPr>
            <w:r>
              <w:rPr>
                <w:rFonts w:hint="eastAsia"/>
              </w:rPr>
              <w:t>果皮</w:t>
            </w:r>
          </w:p>
        </w:tc>
        <w:tc>
          <w:tcPr>
            <w:tcW w:w="814" w:type="dxa"/>
            <w:vAlign w:val="center"/>
          </w:tcPr>
          <w:p w14:paraId="40269F47">
            <w:pPr>
              <w:pStyle w:val="30"/>
              <w:ind w:firstLine="0" w:firstLineChars="0"/>
              <w:rPr>
                <w:rFonts w:ascii="Times New Roman" w:hAnsi="Times New Roman" w:cs="Times New Roman"/>
                <w:kern w:val="0"/>
                <w:sz w:val="18"/>
                <w:szCs w:val="20"/>
              </w:rPr>
            </w:pPr>
            <w:r>
              <w:rPr>
                <w:rFonts w:hint="eastAsia"/>
              </w:rPr>
              <w:t>龟裂片</w:t>
            </w:r>
          </w:p>
        </w:tc>
        <w:tc>
          <w:tcPr>
            <w:tcW w:w="2824" w:type="dxa"/>
            <w:vAlign w:val="center"/>
          </w:tcPr>
          <w:p w14:paraId="7DF1961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lang w:val="en-US" w:eastAsia="zh-CN"/>
              </w:rPr>
              <w:t>凸起，呈不规则圆锥形</w:t>
            </w:r>
          </w:p>
        </w:tc>
        <w:tc>
          <w:tcPr>
            <w:tcW w:w="2722" w:type="dxa"/>
            <w:vAlign w:val="center"/>
          </w:tcPr>
          <w:p w14:paraId="4AA448E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lang w:val="en-US" w:eastAsia="zh-CN"/>
              </w:rPr>
              <w:t>明显隆起，呈狭长形，纵向排列</w:t>
            </w:r>
          </w:p>
        </w:tc>
        <w:tc>
          <w:tcPr>
            <w:tcW w:w="1887" w:type="dxa"/>
            <w:vMerge w:val="continue"/>
            <w:vAlign w:val="center"/>
          </w:tcPr>
          <w:p w14:paraId="11031746">
            <w:pPr>
              <w:widowControl/>
              <w:autoSpaceDE w:val="0"/>
              <w:autoSpaceDN w:val="0"/>
              <w:adjustRightInd/>
              <w:spacing w:line="240" w:lineRule="auto"/>
              <w:jc w:val="center"/>
              <w:rPr>
                <w:rFonts w:ascii="Times New Roman" w:hAnsi="Times New Roman" w:cs="Times New Roman"/>
                <w:kern w:val="0"/>
                <w:sz w:val="18"/>
                <w:szCs w:val="20"/>
              </w:rPr>
            </w:pPr>
          </w:p>
        </w:tc>
      </w:tr>
      <w:tr w14:paraId="4B98B7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7E9EE043">
            <w:pPr>
              <w:pStyle w:val="30"/>
              <w:ind w:firstLine="0" w:firstLineChars="0"/>
              <w:jc w:val="center"/>
              <w:rPr>
                <w:rFonts w:ascii="Times New Roman" w:hAnsi="Times New Roman" w:cs="Times New Roman"/>
                <w:kern w:val="0"/>
                <w:sz w:val="18"/>
                <w:szCs w:val="20"/>
              </w:rPr>
            </w:pPr>
            <w:r>
              <w:rPr>
                <w:rFonts w:hint="eastAsia" w:ascii="宋体" w:hAnsi="宋体" w:eastAsia="宋体" w:cs="宋体"/>
              </w:rPr>
              <w:t>6</w:t>
            </w:r>
          </w:p>
        </w:tc>
        <w:tc>
          <w:tcPr>
            <w:tcW w:w="611" w:type="dxa"/>
            <w:vMerge w:val="continue"/>
            <w:vAlign w:val="center"/>
          </w:tcPr>
          <w:p w14:paraId="107D2728">
            <w:pPr>
              <w:pStyle w:val="30"/>
              <w:ind w:firstLine="0" w:firstLineChars="0"/>
              <w:rPr>
                <w:rFonts w:ascii="Times New Roman" w:hAnsi="Times New Roman" w:cs="Times New Roman"/>
                <w:kern w:val="0"/>
                <w:sz w:val="18"/>
                <w:szCs w:val="20"/>
              </w:rPr>
            </w:pPr>
          </w:p>
        </w:tc>
        <w:tc>
          <w:tcPr>
            <w:tcW w:w="814" w:type="dxa"/>
            <w:vAlign w:val="center"/>
          </w:tcPr>
          <w:p w14:paraId="127E8042">
            <w:pPr>
              <w:pStyle w:val="30"/>
              <w:ind w:firstLine="0" w:firstLineChars="0"/>
              <w:rPr>
                <w:rFonts w:ascii="Times New Roman" w:hAnsi="Times New Roman" w:cs="Times New Roman"/>
                <w:kern w:val="0"/>
                <w:sz w:val="18"/>
                <w:szCs w:val="20"/>
              </w:rPr>
            </w:pPr>
            <w:r>
              <w:rPr>
                <w:rFonts w:hint="eastAsia"/>
              </w:rPr>
              <w:t>裂片峰</w:t>
            </w:r>
          </w:p>
        </w:tc>
        <w:tc>
          <w:tcPr>
            <w:tcW w:w="2824" w:type="dxa"/>
            <w:vAlign w:val="center"/>
          </w:tcPr>
          <w:p w14:paraId="2BCD612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lang w:val="en-US" w:eastAsia="zh-CN"/>
              </w:rPr>
              <w:t>尖锐，裂纹显著</w:t>
            </w:r>
          </w:p>
        </w:tc>
        <w:tc>
          <w:tcPr>
            <w:tcW w:w="2722" w:type="dxa"/>
            <w:vAlign w:val="center"/>
          </w:tcPr>
          <w:p w14:paraId="12B8B4E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lang w:val="en-US" w:eastAsia="zh-CN"/>
              </w:rPr>
              <w:t>平滑</w:t>
            </w:r>
          </w:p>
        </w:tc>
        <w:tc>
          <w:tcPr>
            <w:tcW w:w="1887" w:type="dxa"/>
            <w:vMerge w:val="continue"/>
            <w:vAlign w:val="center"/>
          </w:tcPr>
          <w:p w14:paraId="789E23D7">
            <w:pPr>
              <w:widowControl/>
              <w:autoSpaceDE w:val="0"/>
              <w:autoSpaceDN w:val="0"/>
              <w:adjustRightInd/>
              <w:spacing w:line="240" w:lineRule="auto"/>
              <w:jc w:val="center"/>
              <w:rPr>
                <w:rFonts w:ascii="Times New Roman" w:hAnsi="Times New Roman" w:cs="Times New Roman"/>
                <w:kern w:val="0"/>
                <w:sz w:val="18"/>
                <w:szCs w:val="20"/>
              </w:rPr>
            </w:pPr>
          </w:p>
        </w:tc>
      </w:tr>
      <w:tr w14:paraId="56E18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18527ECE">
            <w:pPr>
              <w:pStyle w:val="30"/>
              <w:ind w:firstLine="0" w:firstLineChars="0"/>
              <w:jc w:val="center"/>
              <w:rPr>
                <w:rFonts w:ascii="Times New Roman" w:hAnsi="Times New Roman" w:cs="Times New Roman"/>
                <w:kern w:val="0"/>
                <w:sz w:val="18"/>
                <w:szCs w:val="20"/>
              </w:rPr>
            </w:pPr>
            <w:r>
              <w:rPr>
                <w:rFonts w:hint="eastAsia" w:ascii="宋体" w:hAnsi="宋体" w:eastAsia="宋体" w:cs="宋体"/>
              </w:rPr>
              <w:t>7</w:t>
            </w:r>
          </w:p>
        </w:tc>
        <w:tc>
          <w:tcPr>
            <w:tcW w:w="611" w:type="dxa"/>
            <w:vMerge w:val="continue"/>
            <w:vAlign w:val="center"/>
          </w:tcPr>
          <w:p w14:paraId="224613FB">
            <w:pPr>
              <w:pStyle w:val="30"/>
              <w:ind w:firstLine="0" w:firstLineChars="0"/>
              <w:rPr>
                <w:rFonts w:ascii="Times New Roman" w:hAnsi="Times New Roman" w:cs="Times New Roman"/>
                <w:kern w:val="0"/>
                <w:sz w:val="18"/>
                <w:szCs w:val="20"/>
              </w:rPr>
            </w:pPr>
          </w:p>
        </w:tc>
        <w:tc>
          <w:tcPr>
            <w:tcW w:w="814" w:type="dxa"/>
            <w:vAlign w:val="center"/>
          </w:tcPr>
          <w:p w14:paraId="5142B3A5">
            <w:pPr>
              <w:pStyle w:val="30"/>
              <w:ind w:firstLine="0" w:firstLineChars="0"/>
            </w:pPr>
            <w:r>
              <w:rPr>
                <w:rFonts w:hint="eastAsia"/>
              </w:rPr>
              <w:t>缝合线</w:t>
            </w:r>
          </w:p>
        </w:tc>
        <w:tc>
          <w:tcPr>
            <w:tcW w:w="2824" w:type="dxa"/>
            <w:vAlign w:val="center"/>
          </w:tcPr>
          <w:p w14:paraId="40076A5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lang w:val="en-US" w:eastAsia="zh-CN"/>
              </w:rPr>
              <w:t>明显，窄深有些凹陷</w:t>
            </w:r>
          </w:p>
        </w:tc>
        <w:tc>
          <w:tcPr>
            <w:tcW w:w="2722" w:type="dxa"/>
            <w:vAlign w:val="center"/>
          </w:tcPr>
          <w:p w14:paraId="202AD5F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lang w:val="en-US" w:eastAsia="zh-CN"/>
              </w:rPr>
              <w:t>较明显</w:t>
            </w:r>
          </w:p>
        </w:tc>
        <w:tc>
          <w:tcPr>
            <w:tcW w:w="1887" w:type="dxa"/>
            <w:vMerge w:val="continue"/>
            <w:vAlign w:val="center"/>
          </w:tcPr>
          <w:p w14:paraId="0980607F">
            <w:pPr>
              <w:widowControl/>
              <w:autoSpaceDE w:val="0"/>
              <w:autoSpaceDN w:val="0"/>
              <w:adjustRightInd/>
              <w:spacing w:line="240" w:lineRule="auto"/>
              <w:jc w:val="center"/>
              <w:rPr>
                <w:rFonts w:ascii="Times New Roman" w:hAnsi="Times New Roman" w:cs="Times New Roman"/>
                <w:kern w:val="0"/>
                <w:sz w:val="18"/>
                <w:szCs w:val="20"/>
              </w:rPr>
            </w:pPr>
          </w:p>
        </w:tc>
      </w:tr>
      <w:tr w14:paraId="172BB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3396215F">
            <w:pPr>
              <w:pStyle w:val="30"/>
              <w:ind w:firstLine="0" w:firstLineChars="0"/>
              <w:jc w:val="center"/>
              <w:rPr>
                <w:rFonts w:ascii="Times New Roman" w:hAnsi="Times New Roman" w:cs="Times New Roman"/>
                <w:kern w:val="0"/>
                <w:sz w:val="18"/>
                <w:szCs w:val="20"/>
              </w:rPr>
            </w:pPr>
            <w:r>
              <w:rPr>
                <w:rFonts w:hint="eastAsia" w:ascii="宋体" w:hAnsi="宋体" w:eastAsia="宋体" w:cs="宋体"/>
              </w:rPr>
              <w:t>8</w:t>
            </w:r>
          </w:p>
        </w:tc>
        <w:tc>
          <w:tcPr>
            <w:tcW w:w="611" w:type="dxa"/>
            <w:vMerge w:val="restart"/>
            <w:vAlign w:val="center"/>
          </w:tcPr>
          <w:p w14:paraId="6CA0E56B">
            <w:pPr>
              <w:pStyle w:val="30"/>
              <w:ind w:firstLine="0" w:firstLineChars="0"/>
              <w:rPr>
                <w:rFonts w:ascii="Times New Roman" w:hAnsi="Times New Roman" w:cs="Times New Roman"/>
                <w:kern w:val="0"/>
                <w:sz w:val="18"/>
                <w:szCs w:val="20"/>
              </w:rPr>
            </w:pPr>
            <w:r>
              <w:rPr>
                <w:rFonts w:hint="eastAsia"/>
              </w:rPr>
              <w:t>果肉</w:t>
            </w:r>
          </w:p>
        </w:tc>
        <w:tc>
          <w:tcPr>
            <w:tcW w:w="814" w:type="dxa"/>
            <w:vAlign w:val="center"/>
          </w:tcPr>
          <w:p w14:paraId="144C5EBC">
            <w:pPr>
              <w:pStyle w:val="30"/>
              <w:ind w:firstLine="0" w:firstLineChars="0"/>
            </w:pPr>
            <w:r>
              <w:rPr>
                <w:rFonts w:hint="eastAsia"/>
                <w:highlight w:val="none"/>
              </w:rPr>
              <w:t>质地</w:t>
            </w:r>
          </w:p>
        </w:tc>
        <w:tc>
          <w:tcPr>
            <w:tcW w:w="2824" w:type="dxa"/>
            <w:vAlign w:val="center"/>
          </w:tcPr>
          <w:p w14:paraId="7977262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highlight w:val="none"/>
                <w:lang w:val="en-US" w:eastAsia="zh-CN"/>
              </w:rPr>
              <w:t>果肉乳白色，肉质爽脆</w:t>
            </w:r>
          </w:p>
        </w:tc>
        <w:tc>
          <w:tcPr>
            <w:tcW w:w="2722" w:type="dxa"/>
            <w:vAlign w:val="center"/>
          </w:tcPr>
          <w:p w14:paraId="4414B4F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highlight w:val="none"/>
                <w:lang w:val="en-US" w:eastAsia="zh-CN"/>
              </w:rPr>
              <w:t>果肉乳白色，肉质软滑细嫩</w:t>
            </w:r>
          </w:p>
        </w:tc>
        <w:tc>
          <w:tcPr>
            <w:tcW w:w="1887" w:type="dxa"/>
            <w:vMerge w:val="continue"/>
            <w:vAlign w:val="center"/>
          </w:tcPr>
          <w:p w14:paraId="6A0B94DD">
            <w:pPr>
              <w:widowControl/>
              <w:autoSpaceDE w:val="0"/>
              <w:autoSpaceDN w:val="0"/>
              <w:adjustRightInd/>
              <w:spacing w:line="240" w:lineRule="auto"/>
              <w:jc w:val="center"/>
              <w:rPr>
                <w:rFonts w:ascii="Times New Roman" w:hAnsi="Times New Roman" w:cs="Times New Roman"/>
                <w:kern w:val="0"/>
                <w:sz w:val="18"/>
                <w:szCs w:val="20"/>
              </w:rPr>
            </w:pPr>
          </w:p>
        </w:tc>
      </w:tr>
      <w:tr w14:paraId="5AF51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0B214497">
            <w:pPr>
              <w:pStyle w:val="30"/>
              <w:ind w:firstLine="0" w:firstLineChars="0"/>
              <w:jc w:val="center"/>
              <w:rPr>
                <w:rFonts w:ascii="Times New Roman" w:hAnsi="Times New Roman" w:cs="Times New Roman"/>
                <w:kern w:val="0"/>
                <w:sz w:val="18"/>
                <w:szCs w:val="20"/>
              </w:rPr>
            </w:pPr>
            <w:r>
              <w:rPr>
                <w:rFonts w:hint="eastAsia" w:ascii="宋体" w:hAnsi="宋体" w:eastAsia="宋体" w:cs="宋体"/>
              </w:rPr>
              <w:t>9</w:t>
            </w:r>
          </w:p>
        </w:tc>
        <w:tc>
          <w:tcPr>
            <w:tcW w:w="611" w:type="dxa"/>
            <w:vMerge w:val="continue"/>
            <w:vAlign w:val="center"/>
          </w:tcPr>
          <w:p w14:paraId="460C9DF1">
            <w:pPr>
              <w:pStyle w:val="30"/>
              <w:ind w:firstLine="0" w:firstLineChars="0"/>
              <w:rPr>
                <w:rFonts w:ascii="Times New Roman" w:hAnsi="Times New Roman" w:cs="Times New Roman"/>
                <w:kern w:val="0"/>
                <w:sz w:val="18"/>
                <w:szCs w:val="20"/>
              </w:rPr>
            </w:pPr>
          </w:p>
        </w:tc>
        <w:tc>
          <w:tcPr>
            <w:tcW w:w="814" w:type="dxa"/>
            <w:vAlign w:val="center"/>
          </w:tcPr>
          <w:p w14:paraId="3D7D2A21">
            <w:pPr>
              <w:pStyle w:val="30"/>
              <w:ind w:firstLine="0" w:firstLineChars="0"/>
            </w:pPr>
            <w:r>
              <w:rPr>
                <w:rFonts w:hint="eastAsia"/>
                <w:highlight w:val="none"/>
              </w:rPr>
              <w:t>风味</w:t>
            </w:r>
          </w:p>
        </w:tc>
        <w:tc>
          <w:tcPr>
            <w:tcW w:w="2824" w:type="dxa"/>
            <w:vAlign w:val="center"/>
          </w:tcPr>
          <w:p w14:paraId="3DC90AB0">
            <w:pPr>
              <w:keepNext w:val="0"/>
              <w:keepLines w:val="0"/>
              <w:pageBreakBefore w:val="0"/>
              <w:kinsoku/>
              <w:wordWrap/>
              <w:overflowPunct/>
              <w:topLinePunct w:val="0"/>
              <w:autoSpaceDE/>
              <w:autoSpaceDN/>
              <w:bidi w:val="0"/>
              <w:adjustRightInd w:val="0"/>
              <w:snapToGrid/>
              <w:spacing w:line="240" w:lineRule="auto"/>
              <w:jc w:val="center"/>
              <w:textAlignment w:val="auto"/>
              <w:rPr>
                <w:rFonts w:ascii="Times New Roman" w:hAnsi="Times New Roman" w:cs="Times New Roman"/>
                <w:kern w:val="0"/>
                <w:sz w:val="18"/>
                <w:szCs w:val="20"/>
              </w:rPr>
            </w:pPr>
            <w:r>
              <w:rPr>
                <w:rFonts w:hint="eastAsia"/>
                <w:sz w:val="18"/>
                <w:szCs w:val="18"/>
                <w:highlight w:val="none"/>
                <w:lang w:val="en-US" w:eastAsia="zh-CN"/>
              </w:rPr>
              <w:t>味清甜多汁，带有独特的荔桂香味</w:t>
            </w:r>
          </w:p>
        </w:tc>
        <w:tc>
          <w:tcPr>
            <w:tcW w:w="2722" w:type="dxa"/>
            <w:vAlign w:val="center"/>
          </w:tcPr>
          <w:p w14:paraId="7FA82815">
            <w:pPr>
              <w:keepNext w:val="0"/>
              <w:keepLines w:val="0"/>
              <w:pageBreakBefore w:val="0"/>
              <w:kinsoku/>
              <w:wordWrap/>
              <w:overflowPunct/>
              <w:topLinePunct w:val="0"/>
              <w:autoSpaceDE/>
              <w:autoSpaceDN/>
              <w:bidi w:val="0"/>
              <w:adjustRightInd w:val="0"/>
              <w:snapToGrid/>
              <w:spacing w:line="240" w:lineRule="auto"/>
              <w:jc w:val="left"/>
              <w:textAlignment w:val="auto"/>
              <w:rPr>
                <w:rFonts w:ascii="Times New Roman" w:hAnsi="Times New Roman" w:cs="Times New Roman"/>
                <w:kern w:val="0"/>
                <w:sz w:val="18"/>
                <w:szCs w:val="20"/>
              </w:rPr>
            </w:pPr>
            <w:r>
              <w:rPr>
                <w:rFonts w:hint="eastAsia"/>
                <w:sz w:val="18"/>
                <w:szCs w:val="18"/>
                <w:highlight w:val="none"/>
                <w:lang w:val="en-US" w:eastAsia="zh-CN"/>
              </w:rPr>
              <w:t>口感软糯，浓甜多汁，微带独特的荔糯香味</w:t>
            </w:r>
          </w:p>
        </w:tc>
        <w:tc>
          <w:tcPr>
            <w:tcW w:w="1887" w:type="dxa"/>
            <w:vMerge w:val="continue"/>
            <w:vAlign w:val="center"/>
          </w:tcPr>
          <w:p w14:paraId="6E80684E">
            <w:pPr>
              <w:widowControl/>
              <w:autoSpaceDE w:val="0"/>
              <w:autoSpaceDN w:val="0"/>
              <w:adjustRightInd/>
              <w:spacing w:line="240" w:lineRule="auto"/>
              <w:jc w:val="center"/>
              <w:rPr>
                <w:rFonts w:ascii="Times New Roman" w:hAnsi="Times New Roman" w:cs="Times New Roman"/>
                <w:kern w:val="0"/>
                <w:sz w:val="18"/>
                <w:szCs w:val="20"/>
              </w:rPr>
            </w:pPr>
          </w:p>
        </w:tc>
      </w:tr>
      <w:tr w14:paraId="52FB1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2" w:type="dxa"/>
            <w:vAlign w:val="center"/>
          </w:tcPr>
          <w:p w14:paraId="4AFB2C60">
            <w:pPr>
              <w:pStyle w:val="30"/>
              <w:ind w:firstLine="0" w:firstLineChars="0"/>
              <w:jc w:val="center"/>
              <w:rPr>
                <w:rFonts w:hint="default" w:ascii="Times New Roman" w:hAnsi="Times New Roman" w:eastAsia="宋体" w:cs="Times New Roman"/>
                <w:kern w:val="0"/>
                <w:sz w:val="18"/>
                <w:szCs w:val="20"/>
                <w:lang w:val="en-US" w:eastAsia="zh-CN"/>
              </w:rPr>
            </w:pPr>
            <w:r>
              <w:rPr>
                <w:rFonts w:hint="eastAsia" w:ascii="宋体" w:hAnsi="宋体" w:eastAsia="宋体" w:cs="宋体"/>
              </w:rPr>
              <w:t>10</w:t>
            </w:r>
          </w:p>
        </w:tc>
        <w:tc>
          <w:tcPr>
            <w:tcW w:w="1425" w:type="dxa"/>
            <w:gridSpan w:val="2"/>
            <w:vAlign w:val="center"/>
          </w:tcPr>
          <w:p w14:paraId="25CED146">
            <w:pPr>
              <w:pStyle w:val="30"/>
              <w:ind w:firstLine="0" w:firstLineChars="0"/>
            </w:pPr>
            <w:r>
              <w:rPr>
                <w:rFonts w:hint="eastAsia"/>
                <w:sz w:val="18"/>
                <w:szCs w:val="18"/>
                <w:lang w:val="en-US" w:eastAsia="zh-CN"/>
              </w:rPr>
              <w:t>种子</w:t>
            </w:r>
          </w:p>
        </w:tc>
        <w:tc>
          <w:tcPr>
            <w:tcW w:w="2824" w:type="dxa"/>
            <w:vAlign w:val="center"/>
          </w:tcPr>
          <w:p w14:paraId="21EBAD1C">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ascii="Times New Roman" w:hAnsi="Times New Roman" w:eastAsia="宋体" w:cs="Times New Roman"/>
                <w:kern w:val="0"/>
                <w:sz w:val="18"/>
                <w:szCs w:val="20"/>
                <w:highlight w:val="yellow"/>
                <w:lang w:val="en-US" w:eastAsia="zh-CN"/>
              </w:rPr>
            </w:pPr>
            <w:r>
              <w:rPr>
                <w:rFonts w:hint="eastAsia"/>
                <w:sz w:val="18"/>
                <w:szCs w:val="18"/>
                <w:highlight w:val="none"/>
              </w:rPr>
              <w:t>多数</w:t>
            </w:r>
            <w:r>
              <w:rPr>
                <w:rFonts w:hint="eastAsia"/>
                <w:sz w:val="18"/>
                <w:szCs w:val="18"/>
                <w:highlight w:val="none"/>
                <w:lang w:val="en-US" w:eastAsia="zh-CN"/>
              </w:rPr>
              <w:t>小</w:t>
            </w:r>
          </w:p>
        </w:tc>
        <w:tc>
          <w:tcPr>
            <w:tcW w:w="2722" w:type="dxa"/>
            <w:vAlign w:val="center"/>
          </w:tcPr>
          <w:p w14:paraId="03D3C593">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ascii="Times New Roman" w:hAnsi="Times New Roman" w:cs="Times New Roman"/>
                <w:kern w:val="0"/>
                <w:sz w:val="18"/>
                <w:szCs w:val="20"/>
                <w:highlight w:val="yellow"/>
                <w:lang w:val="en-US" w:eastAsia="zh-CN"/>
              </w:rPr>
            </w:pPr>
            <w:r>
              <w:rPr>
                <w:rFonts w:hint="eastAsia"/>
                <w:sz w:val="18"/>
                <w:szCs w:val="18"/>
                <w:highlight w:val="none"/>
                <w:lang w:val="en-US" w:eastAsia="zh-CN"/>
              </w:rPr>
              <w:t>小</w:t>
            </w:r>
          </w:p>
        </w:tc>
        <w:tc>
          <w:tcPr>
            <w:tcW w:w="1887" w:type="dxa"/>
            <w:vMerge w:val="continue"/>
            <w:vAlign w:val="center"/>
          </w:tcPr>
          <w:p w14:paraId="4723E165">
            <w:pPr>
              <w:widowControl/>
              <w:autoSpaceDE w:val="0"/>
              <w:autoSpaceDN w:val="0"/>
              <w:adjustRightInd/>
              <w:spacing w:line="240" w:lineRule="auto"/>
              <w:jc w:val="center"/>
              <w:rPr>
                <w:rFonts w:hint="eastAsia" w:ascii="Times New Roman" w:hAnsi="Times New Roman" w:cs="Times New Roman"/>
                <w:kern w:val="0"/>
                <w:sz w:val="18"/>
                <w:szCs w:val="20"/>
                <w:highlight w:val="yellow"/>
                <w:lang w:val="en-US" w:eastAsia="zh-CN"/>
              </w:rPr>
            </w:pPr>
          </w:p>
        </w:tc>
      </w:tr>
    </w:tbl>
    <w:p w14:paraId="4C06A61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rPr>
      </w:pP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lang w:val="en-US" w:eastAsia="zh-CN"/>
        </w:rPr>
        <w:t>3</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理化指标</w:t>
      </w:r>
    </w:p>
    <w:p w14:paraId="47690DB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应符合表2的规定。</w:t>
      </w:r>
    </w:p>
    <w:p w14:paraId="0874A9E7">
      <w:pPr>
        <w:keepNext w:val="0"/>
        <w:keepLines w:val="0"/>
        <w:pageBreakBefore w:val="0"/>
        <w:numPr>
          <w:ilvl w:val="0"/>
          <w:numId w:val="7"/>
        </w:numPr>
        <w:tabs>
          <w:tab w:val="left" w:pos="0"/>
        </w:tabs>
        <w:kinsoku/>
        <w:wordWrap/>
        <w:overflowPunct/>
        <w:topLinePunct w:val="0"/>
        <w:bidi w:val="0"/>
        <w:adjustRightInd/>
        <w:snapToGrid/>
        <w:spacing w:before="120" w:beforeLines="50" w:after="120" w:afterLines="50" w:line="560" w:lineRule="exact"/>
        <w:ind w:left="0" w:firstLine="0"/>
        <w:jc w:val="center"/>
        <w:textAlignment w:val="auto"/>
        <w:rPr>
          <w:rFonts w:ascii="黑体" w:hAnsi="Times New Roman" w:eastAsia="黑体" w:cs="Times New Roman"/>
          <w:kern w:val="0"/>
          <w:sz w:val="21"/>
          <w:szCs w:val="22"/>
          <w:lang w:val="en-US" w:eastAsia="zh-CN" w:bidi="ar-SA"/>
        </w:rPr>
      </w:pPr>
      <w:r>
        <w:rPr>
          <w:rFonts w:hint="eastAsia" w:ascii="黑体" w:hAnsi="Times New Roman" w:eastAsia="黑体" w:cs="Times New Roman"/>
          <w:kern w:val="0"/>
          <w:sz w:val="21"/>
          <w:szCs w:val="22"/>
          <w:lang w:val="en-US" w:eastAsia="zh-CN" w:bidi="ar-SA"/>
        </w:rPr>
        <w:t>理化指标</w:t>
      </w:r>
    </w:p>
    <w:tbl>
      <w:tblPr>
        <w:tblStyle w:val="28"/>
        <w:tblW w:w="93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617"/>
        <w:gridCol w:w="2053"/>
        <w:gridCol w:w="2311"/>
        <w:gridCol w:w="2195"/>
        <w:gridCol w:w="2185"/>
      </w:tblGrid>
      <w:tr w14:paraId="026A9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578" w:hRule="atLeast"/>
          <w:tblHeader/>
          <w:jc w:val="center"/>
        </w:trPr>
        <w:tc>
          <w:tcPr>
            <w:tcW w:w="617" w:type="dxa"/>
            <w:tcBorders>
              <w:bottom w:val="single" w:color="auto" w:sz="8" w:space="0"/>
            </w:tcBorders>
            <w:vAlign w:val="center"/>
          </w:tcPr>
          <w:p w14:paraId="34B75229">
            <w:pPr>
              <w:pStyle w:val="26"/>
              <w:ind w:left="0" w:leftChars="0" w:firstLine="0" w:firstLineChars="0"/>
              <w:jc w:val="center"/>
              <w:rPr>
                <w:rFonts w:ascii="Times New Roman" w:hAnsi="Times New Roman" w:eastAsia="宋体" w:cs="Times New Roman"/>
                <w:kern w:val="0"/>
                <w:sz w:val="18"/>
                <w:szCs w:val="20"/>
                <w:lang w:val="en-US" w:eastAsia="zh-CN" w:bidi="ar-SA"/>
              </w:rPr>
            </w:pPr>
            <w:r>
              <w:rPr>
                <w:rFonts w:hint="eastAsia" w:ascii="宋体" w:hAnsi="宋体" w:eastAsia="宋体" w:cs="宋体"/>
                <w:sz w:val="18"/>
                <w:lang w:val="en-US" w:eastAsia="zh-CN" w:bidi="ar-SA"/>
              </w:rPr>
              <w:t>序号</w:t>
            </w:r>
          </w:p>
        </w:tc>
        <w:tc>
          <w:tcPr>
            <w:tcW w:w="2053" w:type="dxa"/>
            <w:tcBorders>
              <w:bottom w:val="single" w:color="auto" w:sz="8" w:space="0"/>
            </w:tcBorders>
            <w:vAlign w:val="center"/>
          </w:tcPr>
          <w:p w14:paraId="60F9F71B">
            <w:pPr>
              <w:jc w:val="center"/>
              <w:rPr>
                <w:rFonts w:ascii="Times New Roman" w:hAnsi="Times New Roman" w:eastAsia="宋体" w:cs="Times New Roman"/>
                <w:kern w:val="0"/>
                <w:sz w:val="18"/>
                <w:szCs w:val="20"/>
                <w:lang w:val="en-US" w:eastAsia="zh-CN" w:bidi="ar-SA"/>
              </w:rPr>
            </w:pPr>
            <w:r>
              <w:rPr>
                <w:rFonts w:hint="eastAsia" w:ascii="宋体" w:hAnsi="宋体" w:eastAsia="宋体" w:cs="宋体"/>
                <w:sz w:val="18"/>
                <w:szCs w:val="18"/>
              </w:rPr>
              <w:t>项目</w:t>
            </w:r>
          </w:p>
        </w:tc>
        <w:tc>
          <w:tcPr>
            <w:tcW w:w="2311" w:type="dxa"/>
            <w:tcBorders>
              <w:bottom w:val="single" w:color="auto" w:sz="8" w:space="0"/>
            </w:tcBorders>
            <w:vAlign w:val="center"/>
          </w:tcPr>
          <w:p w14:paraId="1C350EB5">
            <w:pPr>
              <w:jc w:val="center"/>
              <w:rPr>
                <w:rFonts w:ascii="Times New Roman" w:hAnsi="Times New Roman" w:eastAsia="宋体" w:cs="Times New Roman"/>
                <w:kern w:val="0"/>
                <w:sz w:val="18"/>
                <w:szCs w:val="20"/>
                <w:lang w:val="en-US" w:eastAsia="zh-CN" w:bidi="ar-SA"/>
              </w:rPr>
            </w:pPr>
            <w:r>
              <w:rPr>
                <w:rFonts w:hint="eastAsia"/>
                <w:sz w:val="18"/>
                <w:szCs w:val="18"/>
              </w:rPr>
              <w:t>雷岭桂味荔枝</w:t>
            </w:r>
            <w:r>
              <w:rPr>
                <w:rFonts w:hint="eastAsia"/>
                <w:sz w:val="18"/>
                <w:szCs w:val="18"/>
                <w:lang w:val="en-US" w:eastAsia="zh-CN"/>
              </w:rPr>
              <w:t>指标</w:t>
            </w:r>
          </w:p>
        </w:tc>
        <w:tc>
          <w:tcPr>
            <w:tcW w:w="2195" w:type="dxa"/>
            <w:tcBorders>
              <w:bottom w:val="single" w:color="auto" w:sz="8" w:space="0"/>
            </w:tcBorders>
            <w:vAlign w:val="center"/>
          </w:tcPr>
          <w:p w14:paraId="664B1905">
            <w:pPr>
              <w:jc w:val="center"/>
              <w:rPr>
                <w:rFonts w:ascii="Times New Roman" w:hAnsi="Times New Roman" w:eastAsia="宋体" w:cs="Times New Roman"/>
                <w:kern w:val="0"/>
                <w:sz w:val="18"/>
                <w:szCs w:val="20"/>
                <w:lang w:val="en-US" w:eastAsia="zh-CN" w:bidi="ar-SA"/>
              </w:rPr>
            </w:pPr>
            <w:r>
              <w:rPr>
                <w:rFonts w:hint="eastAsia"/>
                <w:sz w:val="18"/>
                <w:szCs w:val="18"/>
              </w:rPr>
              <w:t>雷岭糯米糍荔枝</w:t>
            </w:r>
            <w:r>
              <w:rPr>
                <w:rFonts w:hint="eastAsia"/>
                <w:sz w:val="18"/>
                <w:szCs w:val="18"/>
                <w:lang w:val="en-US" w:eastAsia="zh-CN"/>
              </w:rPr>
              <w:t>指标</w:t>
            </w:r>
          </w:p>
        </w:tc>
        <w:tc>
          <w:tcPr>
            <w:tcW w:w="2185" w:type="dxa"/>
            <w:tcBorders>
              <w:bottom w:val="single" w:color="auto" w:sz="8" w:space="0"/>
            </w:tcBorders>
            <w:vAlign w:val="center"/>
          </w:tcPr>
          <w:p w14:paraId="2C871A79">
            <w:pPr>
              <w:jc w:val="center"/>
              <w:rPr>
                <w:rFonts w:ascii="Times New Roman" w:hAnsi="Times New Roman" w:eastAsia="宋体" w:cs="Times New Roman"/>
                <w:kern w:val="0"/>
                <w:sz w:val="18"/>
                <w:szCs w:val="20"/>
                <w:lang w:val="en-US" w:eastAsia="zh-CN" w:bidi="ar-SA"/>
              </w:rPr>
            </w:pPr>
            <w:r>
              <w:rPr>
                <w:rFonts w:hint="eastAsia"/>
                <w:sz w:val="18"/>
                <w:szCs w:val="18"/>
                <w:lang w:val="en-US" w:eastAsia="zh-CN"/>
              </w:rPr>
              <w:t>指标说明</w:t>
            </w:r>
          </w:p>
        </w:tc>
      </w:tr>
      <w:tr w14:paraId="6B621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63" w:hRule="atLeast"/>
          <w:jc w:val="center"/>
        </w:trPr>
        <w:tc>
          <w:tcPr>
            <w:tcW w:w="617" w:type="dxa"/>
            <w:tcBorders>
              <w:top w:val="single" w:color="auto" w:sz="8" w:space="0"/>
            </w:tcBorders>
            <w:vAlign w:val="center"/>
          </w:tcPr>
          <w:p w14:paraId="207DCBE1">
            <w:pPr>
              <w:pStyle w:val="30"/>
              <w:ind w:firstLine="0" w:firstLineChars="0"/>
              <w:jc w:val="center"/>
              <w:rPr>
                <w:rFonts w:ascii="Times New Roman" w:hAnsi="Times New Roman" w:eastAsia="宋体" w:cs="Times New Roman"/>
                <w:kern w:val="0"/>
                <w:sz w:val="18"/>
                <w:szCs w:val="20"/>
                <w:lang w:val="en-US" w:eastAsia="zh-CN" w:bidi="ar-SA"/>
              </w:rPr>
            </w:pPr>
            <w:r>
              <w:rPr>
                <w:rFonts w:hint="eastAsia" w:ascii="宋体" w:hAnsi="宋体" w:eastAsia="宋体" w:cs="宋体"/>
              </w:rPr>
              <w:t>1</w:t>
            </w:r>
          </w:p>
        </w:tc>
        <w:tc>
          <w:tcPr>
            <w:tcW w:w="2053" w:type="dxa"/>
            <w:tcBorders>
              <w:top w:val="single" w:color="auto" w:sz="8" w:space="0"/>
              <w:right w:val="nil"/>
            </w:tcBorders>
            <w:vAlign w:val="top"/>
          </w:tcPr>
          <w:p w14:paraId="4DF34B49">
            <w:pPr>
              <w:jc w:val="center"/>
              <w:rPr>
                <w:rFonts w:ascii="Times New Roman" w:hAnsi="Times New Roman" w:eastAsia="宋体" w:cs="Times New Roman"/>
                <w:kern w:val="0"/>
                <w:sz w:val="18"/>
                <w:szCs w:val="20"/>
                <w:lang w:val="en-US" w:eastAsia="zh-CN" w:bidi="ar-SA"/>
              </w:rPr>
            </w:pPr>
            <w:r>
              <w:rPr>
                <w:rFonts w:hint="eastAsia" w:ascii="宋体" w:hAnsi="宋体" w:eastAsia="宋体" w:cs="宋体"/>
                <w:sz w:val="18"/>
                <w:szCs w:val="18"/>
              </w:rPr>
              <w:t>可食率/%</w:t>
            </w:r>
          </w:p>
        </w:tc>
        <w:tc>
          <w:tcPr>
            <w:tcW w:w="2311" w:type="dxa"/>
            <w:tcBorders>
              <w:top w:val="single" w:color="auto" w:sz="8" w:space="0"/>
            </w:tcBorders>
            <w:vAlign w:val="top"/>
          </w:tcPr>
          <w:p w14:paraId="52680D0A">
            <w:pPr>
              <w:jc w:val="center"/>
              <w:rPr>
                <w:rFonts w:ascii="Times New Roman" w:hAnsi="Times New Roman" w:eastAsia="宋体" w:cs="Times New Roman"/>
                <w:kern w:val="0"/>
                <w:sz w:val="18"/>
                <w:szCs w:val="20"/>
                <w:lang w:val="en-US" w:eastAsia="zh-CN" w:bidi="ar-SA"/>
              </w:rPr>
            </w:pPr>
            <w:r>
              <w:rPr>
                <w:rFonts w:hint="eastAsia" w:ascii="宋体" w:hAnsi="宋体" w:eastAsia="宋体" w:cs="宋体"/>
                <w:sz w:val="18"/>
                <w:szCs w:val="18"/>
              </w:rPr>
              <w:t>≥70.7</w:t>
            </w:r>
          </w:p>
        </w:tc>
        <w:tc>
          <w:tcPr>
            <w:tcW w:w="2195" w:type="dxa"/>
            <w:tcBorders>
              <w:top w:val="single" w:color="auto" w:sz="8" w:space="0"/>
            </w:tcBorders>
            <w:vAlign w:val="top"/>
          </w:tcPr>
          <w:p w14:paraId="1496065F">
            <w:pPr>
              <w:jc w:val="center"/>
              <w:rPr>
                <w:rFonts w:ascii="宋体" w:hAnsi="宋体" w:eastAsia="宋体" w:cs="Times New Roman"/>
                <w:kern w:val="0"/>
                <w:sz w:val="18"/>
                <w:szCs w:val="20"/>
                <w:lang w:val="en-US" w:eastAsia="zh-CN" w:bidi="ar-SA"/>
              </w:rPr>
            </w:pPr>
            <w:r>
              <w:rPr>
                <w:rFonts w:hint="eastAsia" w:ascii="宋体" w:hAnsi="宋体" w:eastAsia="宋体" w:cs="宋体"/>
                <w:sz w:val="18"/>
                <w:szCs w:val="18"/>
              </w:rPr>
              <w:t>≥75.3</w:t>
            </w:r>
          </w:p>
        </w:tc>
        <w:tc>
          <w:tcPr>
            <w:tcW w:w="2185" w:type="dxa"/>
            <w:vMerge w:val="restart"/>
            <w:tcBorders>
              <w:top w:val="single" w:color="auto" w:sz="8" w:space="0"/>
            </w:tcBorders>
            <w:vAlign w:val="center"/>
          </w:tcPr>
          <w:p w14:paraId="6A5904E5">
            <w:pPr>
              <w:widowControl/>
              <w:autoSpaceDE w:val="0"/>
              <w:autoSpaceDN w:val="0"/>
              <w:adjustRightInd/>
              <w:spacing w:line="240" w:lineRule="auto"/>
              <w:jc w:val="both"/>
              <w:rPr>
                <w:rFonts w:ascii="宋体" w:hAnsi="宋体" w:eastAsia="宋体" w:cs="Times New Roman"/>
                <w:kern w:val="0"/>
                <w:sz w:val="18"/>
                <w:szCs w:val="20"/>
                <w:lang w:val="en-US" w:eastAsia="zh-CN" w:bidi="ar-SA"/>
              </w:rPr>
            </w:pPr>
            <w:r>
              <w:rPr>
                <w:rFonts w:hint="eastAsia" w:ascii="Times New Roman" w:hAnsi="Times New Roman" w:eastAsia="宋体" w:cs="Times New Roman"/>
                <w:kern w:val="0"/>
                <w:sz w:val="18"/>
                <w:szCs w:val="20"/>
                <w:lang w:val="en-US" w:eastAsia="zh-CN" w:bidi="ar-SA"/>
              </w:rPr>
              <w:t>来源于《雷岭荔枝地理标志证明商标使用管理规则》</w:t>
            </w:r>
          </w:p>
        </w:tc>
      </w:tr>
      <w:tr w14:paraId="1A4B3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53" w:hRule="atLeast"/>
          <w:jc w:val="center"/>
        </w:trPr>
        <w:tc>
          <w:tcPr>
            <w:tcW w:w="617" w:type="dxa"/>
            <w:vAlign w:val="center"/>
          </w:tcPr>
          <w:p w14:paraId="6CE638F7">
            <w:pPr>
              <w:pStyle w:val="30"/>
              <w:ind w:firstLine="0" w:firstLineChars="0"/>
              <w:jc w:val="center"/>
              <w:rPr>
                <w:rFonts w:hint="eastAsia" w:ascii="宋体" w:hAnsi="宋体" w:eastAsia="宋体" w:cs="宋体"/>
                <w:lang w:val="en-US" w:eastAsia="zh-CN"/>
              </w:rPr>
            </w:pPr>
            <w:r>
              <w:rPr>
                <w:rFonts w:hint="eastAsia" w:ascii="宋体" w:hAnsi="宋体" w:eastAsia="宋体" w:cs="宋体"/>
              </w:rPr>
              <w:t>2</w:t>
            </w:r>
          </w:p>
        </w:tc>
        <w:tc>
          <w:tcPr>
            <w:tcW w:w="2053" w:type="dxa"/>
            <w:tcBorders>
              <w:right w:val="nil"/>
            </w:tcBorders>
            <w:vAlign w:val="top"/>
          </w:tcPr>
          <w:p w14:paraId="484E3A4A">
            <w:pPr>
              <w:jc w:val="center"/>
              <w:rPr>
                <w:rFonts w:hint="eastAsia" w:ascii="宋体" w:hAnsi="宋体" w:eastAsia="宋体" w:cs="宋体"/>
                <w:lang w:val="en-US" w:eastAsia="zh-CN"/>
              </w:rPr>
            </w:pPr>
            <w:r>
              <w:rPr>
                <w:rFonts w:hint="eastAsia" w:ascii="宋体" w:hAnsi="宋体" w:eastAsia="宋体" w:cs="宋体"/>
                <w:sz w:val="18"/>
                <w:szCs w:val="18"/>
              </w:rPr>
              <w:t>可溶性固形物/%</w:t>
            </w:r>
          </w:p>
        </w:tc>
        <w:tc>
          <w:tcPr>
            <w:tcW w:w="2311" w:type="dxa"/>
            <w:vAlign w:val="top"/>
          </w:tcPr>
          <w:p w14:paraId="612B5366">
            <w:pPr>
              <w:jc w:val="center"/>
              <w:rPr>
                <w:rFonts w:hint="eastAsia" w:ascii="宋体" w:hAnsi="宋体" w:eastAsia="宋体" w:cs="宋体"/>
                <w:lang w:val="en-US" w:eastAsia="zh-CN"/>
              </w:rPr>
            </w:pPr>
            <w:r>
              <w:rPr>
                <w:rFonts w:hint="eastAsia" w:ascii="宋体" w:hAnsi="宋体" w:eastAsia="宋体" w:cs="宋体"/>
                <w:sz w:val="18"/>
                <w:szCs w:val="18"/>
              </w:rPr>
              <w:t>≥17.5</w:t>
            </w:r>
          </w:p>
        </w:tc>
        <w:tc>
          <w:tcPr>
            <w:tcW w:w="2195" w:type="dxa"/>
            <w:vAlign w:val="top"/>
          </w:tcPr>
          <w:p w14:paraId="717FFBAC">
            <w:pPr>
              <w:jc w:val="center"/>
              <w:rPr>
                <w:rFonts w:hint="eastAsia" w:ascii="宋体" w:hAnsi="宋体" w:eastAsia="宋体" w:cs="宋体"/>
                <w:lang w:val="en-US" w:eastAsia="zh-CN"/>
              </w:rPr>
            </w:pPr>
            <w:r>
              <w:rPr>
                <w:rFonts w:hint="eastAsia" w:ascii="宋体" w:hAnsi="宋体" w:eastAsia="宋体" w:cs="宋体"/>
                <w:sz w:val="18"/>
                <w:szCs w:val="18"/>
              </w:rPr>
              <w:t>≥17.0</w:t>
            </w:r>
          </w:p>
        </w:tc>
        <w:tc>
          <w:tcPr>
            <w:tcW w:w="2185" w:type="dxa"/>
            <w:vMerge w:val="continue"/>
            <w:vAlign w:val="center"/>
          </w:tcPr>
          <w:p w14:paraId="403A0864">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r w14:paraId="45977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53" w:hRule="atLeast"/>
          <w:jc w:val="center"/>
        </w:trPr>
        <w:tc>
          <w:tcPr>
            <w:tcW w:w="617" w:type="dxa"/>
            <w:vAlign w:val="center"/>
          </w:tcPr>
          <w:p w14:paraId="7D1FCC74">
            <w:pPr>
              <w:pStyle w:val="30"/>
              <w:ind w:firstLine="0" w:firstLineChars="0"/>
              <w:jc w:val="center"/>
              <w:rPr>
                <w:rFonts w:hint="eastAsia" w:ascii="宋体" w:hAnsi="宋体" w:eastAsia="宋体" w:cs="宋体"/>
              </w:rPr>
            </w:pPr>
            <w:r>
              <w:rPr>
                <w:rFonts w:hint="eastAsia" w:ascii="宋体" w:hAnsi="宋体" w:eastAsia="宋体" w:cs="宋体"/>
              </w:rPr>
              <w:t>3</w:t>
            </w:r>
          </w:p>
        </w:tc>
        <w:tc>
          <w:tcPr>
            <w:tcW w:w="2053" w:type="dxa"/>
            <w:tcBorders>
              <w:right w:val="nil"/>
            </w:tcBorders>
            <w:vAlign w:val="top"/>
          </w:tcPr>
          <w:p w14:paraId="3808407E">
            <w:pPr>
              <w:jc w:val="center"/>
              <w:rPr>
                <w:rFonts w:hint="eastAsia" w:ascii="宋体" w:hAnsi="宋体" w:eastAsia="宋体" w:cs="宋体"/>
              </w:rPr>
            </w:pPr>
            <w:r>
              <w:rPr>
                <w:rFonts w:hint="eastAsia" w:ascii="宋体" w:hAnsi="宋体" w:eastAsia="宋体" w:cs="宋体"/>
                <w:sz w:val="18"/>
                <w:szCs w:val="18"/>
              </w:rPr>
              <w:t>单果</w:t>
            </w:r>
            <w:r>
              <w:rPr>
                <w:rFonts w:hint="eastAsia" w:ascii="宋体" w:hAnsi="宋体" w:cs="宋体"/>
                <w:sz w:val="18"/>
                <w:szCs w:val="18"/>
                <w:lang w:val="en-US" w:eastAsia="zh-CN"/>
              </w:rPr>
              <w:t>质量</w:t>
            </w:r>
            <w:r>
              <w:rPr>
                <w:rFonts w:hint="eastAsia" w:ascii="宋体" w:hAnsi="宋体" w:eastAsia="宋体" w:cs="宋体"/>
                <w:sz w:val="18"/>
                <w:szCs w:val="18"/>
              </w:rPr>
              <w:t>/g</w:t>
            </w:r>
          </w:p>
        </w:tc>
        <w:tc>
          <w:tcPr>
            <w:tcW w:w="2311" w:type="dxa"/>
            <w:vAlign w:val="top"/>
          </w:tcPr>
          <w:p w14:paraId="5650D87E">
            <w:pPr>
              <w:jc w:val="center"/>
              <w:rPr>
                <w:rFonts w:hint="eastAsia" w:ascii="宋体" w:hAnsi="宋体" w:eastAsia="宋体" w:cs="宋体"/>
              </w:rPr>
            </w:pPr>
            <w:r>
              <w:rPr>
                <w:rFonts w:hint="eastAsia" w:ascii="宋体" w:hAnsi="宋体" w:eastAsia="宋体" w:cs="宋体"/>
                <w:sz w:val="18"/>
                <w:szCs w:val="18"/>
              </w:rPr>
              <w:t>≥15.1</w:t>
            </w:r>
          </w:p>
        </w:tc>
        <w:tc>
          <w:tcPr>
            <w:tcW w:w="2195" w:type="dxa"/>
            <w:vAlign w:val="top"/>
          </w:tcPr>
          <w:p w14:paraId="5F52C472">
            <w:pPr>
              <w:jc w:val="center"/>
              <w:rPr>
                <w:rFonts w:hint="eastAsia" w:ascii="宋体" w:hAnsi="宋体" w:eastAsia="宋体" w:cs="宋体"/>
              </w:rPr>
            </w:pPr>
            <w:r>
              <w:rPr>
                <w:rFonts w:hint="eastAsia" w:ascii="宋体" w:hAnsi="宋体" w:eastAsia="宋体" w:cs="宋体"/>
                <w:sz w:val="18"/>
                <w:szCs w:val="18"/>
              </w:rPr>
              <w:t>≥17.0</w:t>
            </w:r>
          </w:p>
        </w:tc>
        <w:tc>
          <w:tcPr>
            <w:tcW w:w="2185" w:type="dxa"/>
            <w:vMerge w:val="continue"/>
            <w:vAlign w:val="center"/>
          </w:tcPr>
          <w:p w14:paraId="08C8C4AD">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r w14:paraId="61D2C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53" w:hRule="atLeast"/>
          <w:jc w:val="center"/>
        </w:trPr>
        <w:tc>
          <w:tcPr>
            <w:tcW w:w="617" w:type="dxa"/>
            <w:vAlign w:val="center"/>
          </w:tcPr>
          <w:p w14:paraId="5C29421C">
            <w:pPr>
              <w:pStyle w:val="30"/>
              <w:ind w:firstLine="0" w:firstLineChars="0"/>
              <w:jc w:val="center"/>
              <w:rPr>
                <w:rFonts w:hint="eastAsia" w:ascii="宋体" w:hAnsi="宋体" w:eastAsia="宋体" w:cs="宋体"/>
              </w:rPr>
            </w:pPr>
            <w:r>
              <w:rPr>
                <w:rFonts w:hint="eastAsia" w:ascii="宋体" w:hAnsi="宋体" w:eastAsia="宋体" w:cs="宋体"/>
              </w:rPr>
              <w:t>4</w:t>
            </w:r>
          </w:p>
        </w:tc>
        <w:tc>
          <w:tcPr>
            <w:tcW w:w="2053" w:type="dxa"/>
            <w:tcBorders>
              <w:right w:val="nil"/>
            </w:tcBorders>
            <w:vAlign w:val="top"/>
          </w:tcPr>
          <w:p w14:paraId="62ABFECC">
            <w:pPr>
              <w:jc w:val="center"/>
              <w:rPr>
                <w:rFonts w:hint="eastAsia" w:ascii="宋体" w:hAnsi="宋体" w:eastAsia="宋体" w:cs="宋体"/>
              </w:rPr>
            </w:pPr>
            <w:r>
              <w:rPr>
                <w:rFonts w:hint="eastAsia" w:ascii="宋体" w:hAnsi="宋体" w:eastAsia="宋体" w:cs="宋体"/>
                <w:sz w:val="18"/>
                <w:szCs w:val="18"/>
              </w:rPr>
              <w:t>总糖/(g/100g)</w:t>
            </w:r>
          </w:p>
        </w:tc>
        <w:tc>
          <w:tcPr>
            <w:tcW w:w="2311" w:type="dxa"/>
            <w:vAlign w:val="top"/>
          </w:tcPr>
          <w:p w14:paraId="77E3941F">
            <w:pPr>
              <w:jc w:val="center"/>
              <w:rPr>
                <w:rFonts w:hint="eastAsia" w:ascii="宋体" w:hAnsi="宋体" w:eastAsia="宋体" w:cs="宋体"/>
              </w:rPr>
            </w:pPr>
            <w:r>
              <w:rPr>
                <w:rFonts w:hint="eastAsia" w:ascii="宋体" w:hAnsi="宋体" w:eastAsia="宋体" w:cs="宋体"/>
                <w:sz w:val="18"/>
                <w:szCs w:val="18"/>
              </w:rPr>
              <w:t>≥15.1</w:t>
            </w:r>
          </w:p>
        </w:tc>
        <w:tc>
          <w:tcPr>
            <w:tcW w:w="2195" w:type="dxa"/>
            <w:vAlign w:val="top"/>
          </w:tcPr>
          <w:p w14:paraId="33AA9A6D">
            <w:pPr>
              <w:jc w:val="center"/>
              <w:rPr>
                <w:rFonts w:hint="eastAsia" w:ascii="宋体" w:hAnsi="宋体" w:eastAsia="宋体" w:cs="宋体"/>
              </w:rPr>
            </w:pPr>
            <w:r>
              <w:rPr>
                <w:rFonts w:hint="eastAsia" w:ascii="宋体" w:hAnsi="宋体" w:eastAsia="宋体" w:cs="宋体"/>
                <w:sz w:val="18"/>
                <w:szCs w:val="18"/>
              </w:rPr>
              <w:t>≥14.0</w:t>
            </w:r>
          </w:p>
        </w:tc>
        <w:tc>
          <w:tcPr>
            <w:tcW w:w="2185" w:type="dxa"/>
            <w:vMerge w:val="continue"/>
            <w:vAlign w:val="center"/>
          </w:tcPr>
          <w:p w14:paraId="66D3B81B">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r w14:paraId="144754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53" w:hRule="atLeast"/>
          <w:jc w:val="center"/>
        </w:trPr>
        <w:tc>
          <w:tcPr>
            <w:tcW w:w="617" w:type="dxa"/>
            <w:vAlign w:val="center"/>
          </w:tcPr>
          <w:p w14:paraId="1282DB49">
            <w:pPr>
              <w:pStyle w:val="30"/>
              <w:ind w:firstLine="0" w:firstLineChars="0"/>
              <w:jc w:val="center"/>
              <w:rPr>
                <w:rFonts w:hint="eastAsia" w:ascii="宋体" w:hAnsi="宋体" w:eastAsia="宋体" w:cs="宋体"/>
              </w:rPr>
            </w:pPr>
            <w:r>
              <w:rPr>
                <w:rFonts w:hint="eastAsia" w:ascii="宋体" w:hAnsi="宋体" w:eastAsia="宋体" w:cs="宋体"/>
              </w:rPr>
              <w:t>5</w:t>
            </w:r>
          </w:p>
        </w:tc>
        <w:tc>
          <w:tcPr>
            <w:tcW w:w="2053" w:type="dxa"/>
            <w:tcBorders>
              <w:right w:val="nil"/>
            </w:tcBorders>
            <w:vAlign w:val="top"/>
          </w:tcPr>
          <w:p w14:paraId="5C7F66F7">
            <w:pPr>
              <w:jc w:val="center"/>
              <w:rPr>
                <w:rFonts w:hint="eastAsia" w:ascii="宋体" w:hAnsi="宋体" w:eastAsia="宋体" w:cs="宋体"/>
              </w:rPr>
            </w:pPr>
            <w:r>
              <w:rPr>
                <w:rFonts w:hint="eastAsia" w:ascii="宋体" w:hAnsi="宋体" w:eastAsia="宋体" w:cs="宋体"/>
                <w:sz w:val="18"/>
                <w:szCs w:val="18"/>
              </w:rPr>
              <w:t>维生素C/(mg/100g)</w:t>
            </w:r>
          </w:p>
        </w:tc>
        <w:tc>
          <w:tcPr>
            <w:tcW w:w="2311" w:type="dxa"/>
            <w:vAlign w:val="top"/>
          </w:tcPr>
          <w:p w14:paraId="7012174E">
            <w:pPr>
              <w:jc w:val="center"/>
              <w:rPr>
                <w:rFonts w:hint="eastAsia" w:ascii="宋体" w:hAnsi="宋体" w:eastAsia="宋体" w:cs="宋体"/>
              </w:rPr>
            </w:pPr>
            <w:r>
              <w:rPr>
                <w:rFonts w:hint="eastAsia" w:ascii="宋体" w:hAnsi="宋体" w:eastAsia="宋体" w:cs="宋体"/>
                <w:sz w:val="18"/>
                <w:szCs w:val="18"/>
              </w:rPr>
              <w:t>≥7.</w:t>
            </w:r>
            <w:r>
              <w:rPr>
                <w:rFonts w:hint="eastAsia" w:ascii="宋体" w:hAnsi="宋体" w:cs="宋体"/>
                <w:sz w:val="18"/>
                <w:szCs w:val="18"/>
                <w:lang w:val="en-US" w:eastAsia="zh-CN"/>
              </w:rPr>
              <w:t>46</w:t>
            </w:r>
          </w:p>
        </w:tc>
        <w:tc>
          <w:tcPr>
            <w:tcW w:w="2195" w:type="dxa"/>
            <w:vAlign w:val="top"/>
          </w:tcPr>
          <w:p w14:paraId="2DF427BF">
            <w:pPr>
              <w:jc w:val="center"/>
              <w:rPr>
                <w:rFonts w:hint="eastAsia" w:ascii="宋体" w:hAnsi="宋体" w:eastAsia="宋体" w:cs="宋体"/>
              </w:rPr>
            </w:pPr>
            <w:r>
              <w:rPr>
                <w:rFonts w:hint="eastAsia" w:ascii="宋体" w:hAnsi="宋体" w:eastAsia="宋体" w:cs="宋体"/>
                <w:sz w:val="18"/>
                <w:szCs w:val="18"/>
              </w:rPr>
              <w:t>≥12.2</w:t>
            </w:r>
          </w:p>
        </w:tc>
        <w:tc>
          <w:tcPr>
            <w:tcW w:w="2185" w:type="dxa"/>
            <w:vMerge w:val="continue"/>
            <w:vAlign w:val="center"/>
          </w:tcPr>
          <w:p w14:paraId="78C13732">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bl>
    <w:p w14:paraId="19FDBDE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8.</w:t>
      </w:r>
      <w:r>
        <w:rPr>
          <w:rFonts w:hint="eastAsia" w:ascii="楷体" w:hAnsi="楷体" w:eastAsia="楷体" w:cs="楷体"/>
          <w:color w:val="000000"/>
          <w:kern w:val="0"/>
          <w:sz w:val="32"/>
          <w:szCs w:val="22"/>
          <w:lang w:val="en-US" w:eastAsia="zh-CN"/>
        </w:rPr>
        <w:t>检</w:t>
      </w:r>
      <w:r>
        <w:rPr>
          <w:rFonts w:hint="eastAsia" w:ascii="楷体" w:hAnsi="楷体" w:eastAsia="楷体" w:cs="楷体"/>
          <w:color w:val="000000"/>
          <w:kern w:val="0"/>
          <w:sz w:val="32"/>
          <w:szCs w:val="22"/>
        </w:rPr>
        <w:t>验方法</w:t>
      </w:r>
    </w:p>
    <w:p w14:paraId="3EAC667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rPr>
      </w:pP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lang w:val="en-US" w:eastAsia="zh-CN"/>
        </w:rPr>
        <w:t>1</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感官检验</w:t>
      </w:r>
    </w:p>
    <w:p w14:paraId="231CF45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外观（包括果形、果色、果顶、果肩和果皮）、种子以及基本要求中除异味项以外的项目，在自然光线下，均采用目测检验。　质地和风味采用品尝和鼻嗅的方法检验。异味采用鼻嗅的方法检验。</w:t>
      </w:r>
    </w:p>
    <w:p w14:paraId="31CBFB9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rPr>
      </w:pP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lang w:val="en-US" w:eastAsia="zh-CN"/>
        </w:rPr>
        <w:t>2</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单果质量</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维生素C</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可食率</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可溶性固形物</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总糖</w:t>
      </w:r>
    </w:p>
    <w:p w14:paraId="21664A9A">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均采用通用标准方法。其中，单果质量按NY/T 1648—2026中5.3.3的规定执行；维生素C按GB 5009.86 的规定执行；可食率按NY/T 515—2002中5.1.3.1的规定执行；可溶性固形物按NY/T 2637的规定执行；总糖按GB 5009.8 的规定执行。</w:t>
      </w:r>
    </w:p>
    <w:p w14:paraId="735605E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9.检验规则</w:t>
      </w:r>
    </w:p>
    <w:p w14:paraId="4B1E015F">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明确批次划分规则：同一产地、同一品种、同一采收日鲜果为一个检验批次；抽样执行按GB/T 8855《新鲜水果和蔬菜取样方法》的规定执行；划分交收检验和型式检验；规定了复检判定规则。</w:t>
      </w:r>
    </w:p>
    <w:p w14:paraId="61ED71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10.标志、标签</w:t>
      </w:r>
    </w:p>
    <w:p w14:paraId="3C61B162">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按GB/T 17924-2025《地理标志产品质量要求标准编制通则》规定，明确仅完全符合本标准的产品，方可标注“雷岭荔枝”地理标志名称、标准编号，同步使用国家地理标志专用标志；标志、标签应符合NY/T 1648—2026的规定。</w:t>
      </w:r>
    </w:p>
    <w:p w14:paraId="16D3A0F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11.包装、运输和贮存</w:t>
      </w:r>
    </w:p>
    <w:p w14:paraId="5AB0890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rPr>
      </w:pP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lang w:val="en-US" w:eastAsia="zh-CN"/>
        </w:rPr>
        <w:t>1</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包装</w:t>
      </w:r>
    </w:p>
    <w:p w14:paraId="1A863BBC">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按NY/T 1648—2026第6章的规定执行。</w:t>
      </w:r>
    </w:p>
    <w:p w14:paraId="379C292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Arial"/>
          <w:b/>
          <w:bCs/>
          <w:color w:val="000000"/>
          <w:kern w:val="0"/>
          <w:sz w:val="32"/>
          <w:szCs w:val="22"/>
        </w:rPr>
      </w:pP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lang w:val="en-US" w:eastAsia="zh-CN"/>
        </w:rPr>
        <w:t>2</w:t>
      </w:r>
      <w:r>
        <w:rPr>
          <w:rFonts w:hint="eastAsia" w:ascii="仿宋_GB2312" w:hAnsi="仿宋_GB2312" w:eastAsia="仿宋_GB2312" w:cs="Arial"/>
          <w:b/>
          <w:bCs/>
          <w:color w:val="000000"/>
          <w:kern w:val="0"/>
          <w:sz w:val="32"/>
          <w:szCs w:val="22"/>
          <w:lang w:eastAsia="zh-CN"/>
        </w:rPr>
        <w:t>）</w:t>
      </w:r>
      <w:r>
        <w:rPr>
          <w:rFonts w:hint="eastAsia" w:ascii="仿宋_GB2312" w:hAnsi="仿宋_GB2312" w:eastAsia="仿宋_GB2312" w:cs="Arial"/>
          <w:b/>
          <w:bCs/>
          <w:color w:val="000000"/>
          <w:kern w:val="0"/>
          <w:sz w:val="32"/>
          <w:szCs w:val="22"/>
        </w:rPr>
        <w:t>运输和贮存</w:t>
      </w:r>
    </w:p>
    <w:p w14:paraId="76DADFA1">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运输工具应清洁，有防日晒、防雨、防挤压等措施。运输过程中不应与有毒有害和有异味物品混运。荔枝产后贮运保鲜应符合NY/T 1530的规定。荔枝冷链流通可参考GB/T 33129、NY/T 4167。</w:t>
      </w:r>
    </w:p>
    <w:p w14:paraId="437A9CE6">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五</w:t>
      </w:r>
      <w:r>
        <w:rPr>
          <w:rFonts w:hint="eastAsia" w:ascii="黑体" w:hAnsi="黑体" w:eastAsia="黑体" w:cs="黑体"/>
          <w:color w:val="000000"/>
          <w:kern w:val="0"/>
          <w:sz w:val="32"/>
          <w:szCs w:val="22"/>
        </w:rPr>
        <w:t>、标准涉及的相关知识产权说明</w:t>
      </w:r>
    </w:p>
    <w:p w14:paraId="57AEB44B">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无相关必要专利。</w:t>
      </w:r>
    </w:p>
    <w:p w14:paraId="7BD90F8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六</w:t>
      </w:r>
      <w:r>
        <w:rPr>
          <w:rFonts w:hint="eastAsia" w:ascii="黑体" w:hAnsi="黑体" w:eastAsia="黑体" w:cs="黑体"/>
          <w:color w:val="000000"/>
          <w:kern w:val="0"/>
          <w:sz w:val="32"/>
          <w:szCs w:val="22"/>
        </w:rPr>
        <w:t>、采用国际标准的程度与水平</w:t>
      </w:r>
    </w:p>
    <w:p w14:paraId="50025152">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无相关国际标准。</w:t>
      </w:r>
    </w:p>
    <w:p w14:paraId="2D191D7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七</w:t>
      </w:r>
      <w:r>
        <w:rPr>
          <w:rFonts w:hint="eastAsia" w:ascii="黑体" w:hAnsi="黑体" w:eastAsia="黑体" w:cs="黑体"/>
          <w:color w:val="000000"/>
          <w:kern w:val="0"/>
          <w:sz w:val="32"/>
          <w:szCs w:val="22"/>
        </w:rPr>
        <w:t>、与现行相关</w:t>
      </w:r>
      <w:r>
        <w:rPr>
          <w:rFonts w:hint="eastAsia" w:ascii="黑体" w:hAnsi="黑体" w:eastAsia="黑体" w:cs="黑体"/>
          <w:color w:val="000000"/>
          <w:kern w:val="0"/>
          <w:sz w:val="32"/>
          <w:szCs w:val="22"/>
          <w:lang w:eastAsia="zh-CN"/>
        </w:rPr>
        <w:t>法律法规</w:t>
      </w:r>
      <w:r>
        <w:rPr>
          <w:rFonts w:hint="eastAsia" w:ascii="黑体" w:hAnsi="黑体" w:eastAsia="黑体" w:cs="黑体"/>
          <w:color w:val="000000"/>
          <w:kern w:val="0"/>
          <w:sz w:val="32"/>
          <w:szCs w:val="22"/>
        </w:rPr>
        <w:t>、规章和强制性标准的关系</w:t>
      </w:r>
    </w:p>
    <w:p w14:paraId="5362EB80">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本文件与现行相关法律法规、规章和强制性标准不冲突。</w:t>
      </w:r>
    </w:p>
    <w:p w14:paraId="63DE2AC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八</w:t>
      </w:r>
      <w:r>
        <w:rPr>
          <w:rFonts w:hint="eastAsia" w:ascii="黑体" w:hAnsi="黑体" w:eastAsia="黑体" w:cs="黑体"/>
          <w:color w:val="000000"/>
          <w:kern w:val="0"/>
          <w:sz w:val="32"/>
          <w:szCs w:val="22"/>
        </w:rPr>
        <w:t>、重大意见分歧的处理经过和依据</w:t>
      </w:r>
    </w:p>
    <w:p w14:paraId="19EE2601">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无重大意见分歧。</w:t>
      </w:r>
    </w:p>
    <w:p w14:paraId="62B2D00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九</w:t>
      </w:r>
      <w:r>
        <w:rPr>
          <w:rFonts w:hint="eastAsia" w:ascii="黑体" w:hAnsi="黑体" w:eastAsia="黑体" w:cs="黑体"/>
          <w:color w:val="000000"/>
          <w:kern w:val="0"/>
          <w:sz w:val="32"/>
          <w:szCs w:val="22"/>
        </w:rPr>
        <w:t>、贯彻标准的措施建议</w:t>
      </w:r>
    </w:p>
    <w:p w14:paraId="0503DF0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1.开展标准宣贯培训</w:t>
      </w:r>
    </w:p>
    <w:p w14:paraId="33BEC901">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标准发布实施后，由汕头市潮南区雷岭镇荔枝协会牵头，联合广东省汕头市质量技术监督标准与编码所、汕头市标准化协会、农业农村主管部门，针对不同主体开展专项培训：面向种植端，重点培训标准化栽培；面向流通端，重点培训包装贮运及地理标志标识使用规范。</w:t>
      </w:r>
    </w:p>
    <w:p w14:paraId="444F7F0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lang w:val="en-US" w:eastAsia="zh-CN"/>
        </w:rPr>
      </w:pPr>
      <w:r>
        <w:rPr>
          <w:rFonts w:hint="eastAsia" w:ascii="楷体" w:hAnsi="楷体" w:eastAsia="楷体" w:cs="楷体"/>
          <w:color w:val="000000"/>
          <w:kern w:val="0"/>
          <w:sz w:val="32"/>
          <w:szCs w:val="22"/>
          <w:lang w:val="en-US" w:eastAsia="zh-CN"/>
        </w:rPr>
        <w:t>2.推动标准与地理标志品牌使用深度融合</w:t>
      </w:r>
    </w:p>
    <w:p w14:paraId="13976F9F">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 xml:space="preserve">依托广东省汕头市质量技术监督标准与编码所、汕头市标准化协会的标准化技术与知识产权实务支撑，指导“雷岭荔枝”生产经营骨干企业，在符合《雷岭荔枝地理标志证明商标使用管理规则》及本标准要求的基础上，向知识产权部门报送地理标志专用标志申请，并为企业地理标志专用标志申请、使用中的各类问题提供全流程技术指导。  </w:t>
      </w:r>
    </w:p>
    <w:sectPr>
      <w:footerReference r:id="rId6" w:type="default"/>
      <w:pgSz w:w="11906" w:h="16838"/>
      <w:pgMar w:top="1440" w:right="1286" w:bottom="1440" w:left="1380" w:header="851" w:footer="992" w:gutter="0"/>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核潜艇" w:date="2026-08-31T11:25:58Z" w:initials="">
    <w:p w14:paraId="16E30EA6">
      <w:pPr>
        <w:pStyle w:val="3"/>
        <w:rPr>
          <w:rFonts w:hint="default" w:eastAsia="宋体"/>
          <w:lang w:val="en-US" w:eastAsia="zh-CN"/>
        </w:rPr>
      </w:pPr>
      <w:r>
        <w:rPr>
          <w:rFonts w:hint="eastAsia"/>
          <w:lang w:val="en-US" w:eastAsia="zh-CN"/>
        </w:rPr>
        <w:t>如果用标协发布，第一起草单位应为标协或其成员单位</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6E30EA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458E76-3D28-4B8F-BEB3-E7D3D750EA19}"/>
  </w:font>
  <w:font w:name="黑体">
    <w:panose1 w:val="02010609060101010101"/>
    <w:charset w:val="86"/>
    <w:family w:val="auto"/>
    <w:pitch w:val="default"/>
    <w:sig w:usb0="800002BF" w:usb1="38CF7CFA" w:usb2="00000016" w:usb3="00000000" w:csb0="00040001" w:csb1="00000000"/>
    <w:embedRegular r:id="rId2" w:fontKey="{E07B6EAA-7C99-4695-A7C0-2531E12AC7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42582FE6-4313-4B03-913D-42AC65B7D413}"/>
  </w:font>
  <w:font w:name="方正小标宋简体">
    <w:panose1 w:val="03000509000000000000"/>
    <w:charset w:val="86"/>
    <w:family w:val="script"/>
    <w:pitch w:val="default"/>
    <w:sig w:usb0="00000001" w:usb1="080E0000" w:usb2="00000000" w:usb3="00000000" w:csb0="00040000" w:csb1="00000000"/>
    <w:embedRegular r:id="rId4" w:fontKey="{453E43B9-9B0F-4BE9-84C6-E276FD6C83AC}"/>
  </w:font>
  <w:font w:name="楷体_GB2312">
    <w:panose1 w:val="02010609030101010101"/>
    <w:charset w:val="86"/>
    <w:family w:val="modern"/>
    <w:pitch w:val="default"/>
    <w:sig w:usb0="00000001" w:usb1="080E0000" w:usb2="00000000" w:usb3="00000000" w:csb0="00040000" w:csb1="00000000"/>
    <w:embedRegular r:id="rId5" w:fontKey="{E1A846F3-FE79-4171-BE39-308604CB0CD5}"/>
  </w:font>
  <w:font w:name="楷体">
    <w:panose1 w:val="02010609060101010101"/>
    <w:charset w:val="86"/>
    <w:family w:val="auto"/>
    <w:pitch w:val="default"/>
    <w:sig w:usb0="800002BF" w:usb1="38CF7CFA" w:usb2="00000016" w:usb3="00000000" w:csb0="00040001" w:csb1="00000000"/>
    <w:embedRegular r:id="rId6" w:fontKey="{3778C489-B38E-4C30-865C-3295A1B91328}"/>
  </w:font>
  <w:font w:name="仿宋_GB2312">
    <w:panose1 w:val="02010609030101010101"/>
    <w:charset w:val="86"/>
    <w:family w:val="auto"/>
    <w:pitch w:val="default"/>
    <w:sig w:usb0="00000001" w:usb1="080E0000" w:usb2="00000000" w:usb3="00000000" w:csb0="00040000" w:csb1="00000000"/>
    <w:embedRegular r:id="rId7" w:fontKey="{516496C1-7E3B-4029-98A1-D555155D6C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B794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41D72">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FD41D72">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31416">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2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5A0BF558"/>
    <w:multiLevelType w:val="multilevel"/>
    <w:tmpl w:val="5A0BF558"/>
    <w:lvl w:ilvl="0" w:tentative="0">
      <w:start w:val="1"/>
      <w:numFmt w:val="decimal"/>
      <w:pStyle w:val="17"/>
      <w:suff w:val="nothing"/>
      <w:lvlText w:val="6.3.%1　"/>
      <w:lvlJc w:val="left"/>
      <w:pPr>
        <w:tabs>
          <w:tab w:val="left" w:pos="0"/>
        </w:tabs>
        <w:ind w:left="420" w:hanging="420"/>
      </w:pPr>
      <w:rPr>
        <w:rFonts w:hint="default" w:ascii="宋体" w:hAnsi="宋体" w:eastAsia="宋体" w:cs="宋体"/>
        <w:b w:val="0"/>
        <w:i w:val="0"/>
        <w:sz w:val="28"/>
        <w:szCs w:val="21"/>
      </w:rPr>
    </w:lvl>
    <w:lvl w:ilvl="1" w:tentative="0">
      <w:start w:val="1"/>
      <w:numFmt w:val="decimal"/>
      <w:suff w:val="nothing"/>
      <w:lvlText w:val="%1.%2　"/>
      <w:lvlJc w:val="left"/>
      <w:pPr>
        <w:ind w:left="993"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993"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49E2E0"/>
    <w:multiLevelType w:val="singleLevel"/>
    <w:tmpl w:val="6449E2E0"/>
    <w:lvl w:ilvl="0" w:tentative="0">
      <w:start w:val="1"/>
      <w:numFmt w:val="decimal"/>
      <w:suff w:val="nothing"/>
      <w:lvlText w:val="（%1）"/>
      <w:lvlJc w:val="left"/>
    </w:lvl>
  </w:abstractNum>
  <w:abstractNum w:abstractNumId="3">
    <w:nsid w:val="646260FA"/>
    <w:multiLevelType w:val="multilevel"/>
    <w:tmpl w:val="646260FA"/>
    <w:lvl w:ilvl="0" w:tentative="0">
      <w:start w:val="1"/>
      <w:numFmt w:val="decimal"/>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32"/>
      <w:suff w:val="nothing"/>
      <w:lvlText w:val="%1%2　"/>
      <w:lvlJc w:val="left"/>
      <w:pPr>
        <w:ind w:left="0" w:firstLine="0"/>
      </w:pPr>
      <w:rPr>
        <w:rFonts w:hint="eastAsia" w:ascii="黑体" w:eastAsia="黑体"/>
        <w:b w:val="0"/>
        <w:i w:val="0"/>
        <w:sz w:val="21"/>
      </w:rPr>
    </w:lvl>
    <w:lvl w:ilvl="2" w:tentative="0">
      <w:start w:val="1"/>
      <w:numFmt w:val="decimal"/>
      <w:pStyle w:val="3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33"/>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6DBA1CB3"/>
    <w:multiLevelType w:val="multilevel"/>
    <w:tmpl w:val="6DBA1CB3"/>
    <w:lvl w:ilvl="0" w:tentative="0">
      <w:start w:val="1"/>
      <w:numFmt w:val="decimal"/>
      <w:suff w:val="nothing"/>
      <w:lvlText w:val="%1　"/>
      <w:lvlJc w:val="left"/>
      <w:pPr>
        <w:ind w:left="0" w:firstLine="0"/>
      </w:pPr>
      <w:rPr>
        <w:rFonts w:hint="eastAsia" w:ascii="黑体" w:hAnsi="Times New Roman" w:eastAsia="黑体" w:cs="黑体"/>
        <w:b w:val="0"/>
        <w:sz w:val="21"/>
        <w:szCs w:val="21"/>
      </w:rPr>
    </w:lvl>
    <w:lvl w:ilvl="1" w:tentative="0">
      <w:start w:val="1"/>
      <w:numFmt w:val="decimal"/>
      <w:pStyle w:val="18"/>
      <w:suff w:val="nothing"/>
      <w:lvlText w:val="%1.%2　"/>
      <w:lvlJc w:val="left"/>
      <w:pPr>
        <w:ind w:left="0" w:firstLine="0"/>
        <w:textAlignment w:val="baseline"/>
      </w:pPr>
      <w:rPr>
        <w:rFonts w:hint="eastAsia" w:ascii="黑体" w:hAnsi="Times New Roman" w:eastAsia="黑体" w:cs="Times New Roman"/>
        <w:b w:val="0"/>
        <w:bCs w:val="0"/>
        <w:iCs w:val="0"/>
        <w:caps w:val="0"/>
        <w:strike w:val="0"/>
        <w:dstrike w:val="0"/>
        <w:outline w:val="0"/>
        <w:vanish w:val="0"/>
        <w:spacing w:val="0"/>
        <w:kern w:val="0"/>
        <w:position w:val="0"/>
        <w:sz w:val="21"/>
        <w:szCs w:val="21"/>
        <w:u w:val="none"/>
      </w:rPr>
    </w:lvl>
    <w:lvl w:ilvl="2" w:tentative="0">
      <w:start w:val="1"/>
      <w:numFmt w:val="decimal"/>
      <w:suff w:val="nothing"/>
      <w:lvlText w:val="%1.%2.%3　"/>
      <w:lvlJc w:val="left"/>
      <w:pPr>
        <w:ind w:left="0" w:firstLine="0"/>
      </w:pPr>
      <w:rPr>
        <w:rFonts w:hint="eastAsia" w:ascii="黑体" w:hAnsi="Times New Roman" w:eastAsia="黑体" w:cs="黑体"/>
        <w:b w:val="0"/>
        <w:sz w:val="21"/>
      </w:rPr>
    </w:lvl>
    <w:lvl w:ilvl="3" w:tentative="0">
      <w:start w:val="1"/>
      <w:numFmt w:val="decimal"/>
      <w:suff w:val="nothing"/>
      <w:lvlText w:val="%1.%2.%3.%4　"/>
      <w:lvlJc w:val="left"/>
      <w:pPr>
        <w:ind w:left="0" w:firstLine="0"/>
      </w:pPr>
      <w:rPr>
        <w:rFonts w:hint="eastAsia" w:ascii="黑体" w:hAnsi="Times New Roman" w:eastAsia="黑体" w:cs="黑体"/>
        <w:b w:val="0"/>
        <w:sz w:val="21"/>
      </w:rPr>
    </w:lvl>
    <w:lvl w:ilvl="4" w:tentative="0">
      <w:start w:val="1"/>
      <w:numFmt w:val="decimal"/>
      <w:suff w:val="nothing"/>
      <w:lvlText w:val="%1.%2.%3.%4.%5　"/>
      <w:lvlJc w:val="left"/>
      <w:pPr>
        <w:ind w:left="0" w:firstLine="0"/>
      </w:pPr>
      <w:rPr>
        <w:rFonts w:hint="eastAsia" w:ascii="黑体" w:hAnsi="Times New Roman" w:eastAsia="黑体" w:cs="黑体"/>
        <w:b w:val="0"/>
        <w:sz w:val="21"/>
      </w:rPr>
    </w:lvl>
    <w:lvl w:ilvl="5" w:tentative="0">
      <w:start w:val="1"/>
      <w:numFmt w:val="decimal"/>
      <w:suff w:val="nothing"/>
      <w:lvlText w:val="%1.%2.%3.%4.%5.%6　"/>
      <w:lvlJc w:val="left"/>
      <w:pPr>
        <w:ind w:left="0" w:firstLine="0"/>
      </w:pPr>
      <w:rPr>
        <w:rFonts w:hint="eastAsia" w:ascii="黑体" w:hAnsi="Times New Roman" w:eastAsia="黑体" w:cs="黑体"/>
        <w:b w:val="0"/>
        <w:sz w:val="21"/>
      </w:rPr>
    </w:lvl>
    <w:lvl w:ilvl="6" w:tentative="0">
      <w:start w:val="1"/>
      <w:numFmt w:val="decimal"/>
      <w:suff w:val="nothing"/>
      <w:lvlText w:val="%1%2.%3.%4.%5.%6.%7　"/>
      <w:lvlJc w:val="left"/>
      <w:pPr>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abstractNum w:abstractNumId="6">
    <w:nsid w:val="6DBF04F4"/>
    <w:multiLevelType w:val="multilevel"/>
    <w:tmpl w:val="6DBF04F4"/>
    <w:lvl w:ilvl="0" w:tentative="0">
      <w:start w:val="1"/>
      <w:numFmt w:val="none"/>
      <w:pStyle w:val="2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
  </w:num>
  <w:num w:numId="2">
    <w:abstractNumId w:val="5"/>
  </w:num>
  <w:num w:numId="3">
    <w:abstractNumId w:val="6"/>
  </w:num>
  <w:num w:numId="4">
    <w:abstractNumId w:val="0"/>
  </w:num>
  <w:num w:numId="5">
    <w:abstractNumId w:val="4"/>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核潜艇">
    <w15:presenceInfo w15:providerId="WPS Office" w15:userId="614205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3NDNhZmU1MDEzNDU1NGY5NDZmZTExODUyZmVmYzAifQ=="/>
  </w:docVars>
  <w:rsids>
    <w:rsidRoot w:val="00172A27"/>
    <w:rsid w:val="000928E3"/>
    <w:rsid w:val="00161FA7"/>
    <w:rsid w:val="00172A27"/>
    <w:rsid w:val="001949F7"/>
    <w:rsid w:val="002A7B82"/>
    <w:rsid w:val="0030434A"/>
    <w:rsid w:val="003A4DB8"/>
    <w:rsid w:val="004D4AEB"/>
    <w:rsid w:val="005463BF"/>
    <w:rsid w:val="005D40FB"/>
    <w:rsid w:val="00690FD7"/>
    <w:rsid w:val="00825493"/>
    <w:rsid w:val="008336FC"/>
    <w:rsid w:val="00843F3C"/>
    <w:rsid w:val="00AD10E6"/>
    <w:rsid w:val="00C10665"/>
    <w:rsid w:val="00C871B4"/>
    <w:rsid w:val="00D90971"/>
    <w:rsid w:val="00EA40E8"/>
    <w:rsid w:val="00F211EF"/>
    <w:rsid w:val="00FE42B4"/>
    <w:rsid w:val="010C6956"/>
    <w:rsid w:val="011F61A0"/>
    <w:rsid w:val="01423F24"/>
    <w:rsid w:val="014F32E7"/>
    <w:rsid w:val="01675B7A"/>
    <w:rsid w:val="017936BE"/>
    <w:rsid w:val="017E34AF"/>
    <w:rsid w:val="01993D1C"/>
    <w:rsid w:val="019F5B76"/>
    <w:rsid w:val="01B91D0C"/>
    <w:rsid w:val="01BB3656"/>
    <w:rsid w:val="01BF2DEF"/>
    <w:rsid w:val="02041025"/>
    <w:rsid w:val="02096C32"/>
    <w:rsid w:val="02246AC1"/>
    <w:rsid w:val="022A49B8"/>
    <w:rsid w:val="02311EFB"/>
    <w:rsid w:val="02315D47"/>
    <w:rsid w:val="0236335D"/>
    <w:rsid w:val="023D2376"/>
    <w:rsid w:val="02447828"/>
    <w:rsid w:val="02641C78"/>
    <w:rsid w:val="0288421F"/>
    <w:rsid w:val="0297157E"/>
    <w:rsid w:val="029C3876"/>
    <w:rsid w:val="029F7154"/>
    <w:rsid w:val="02AF544B"/>
    <w:rsid w:val="02B047EB"/>
    <w:rsid w:val="02CE17E8"/>
    <w:rsid w:val="02E828A9"/>
    <w:rsid w:val="02F94AB6"/>
    <w:rsid w:val="030B6598"/>
    <w:rsid w:val="031713E0"/>
    <w:rsid w:val="032D4760"/>
    <w:rsid w:val="033520B1"/>
    <w:rsid w:val="03367AB9"/>
    <w:rsid w:val="034E3FB8"/>
    <w:rsid w:val="035D3297"/>
    <w:rsid w:val="038F2668"/>
    <w:rsid w:val="039C3694"/>
    <w:rsid w:val="03A12828"/>
    <w:rsid w:val="03AD460C"/>
    <w:rsid w:val="03C36E72"/>
    <w:rsid w:val="03FA6D38"/>
    <w:rsid w:val="0404304E"/>
    <w:rsid w:val="04466501"/>
    <w:rsid w:val="04536763"/>
    <w:rsid w:val="04553F6E"/>
    <w:rsid w:val="045A5C8F"/>
    <w:rsid w:val="04640655"/>
    <w:rsid w:val="04811A8A"/>
    <w:rsid w:val="048D05E0"/>
    <w:rsid w:val="04904FA7"/>
    <w:rsid w:val="04A722F0"/>
    <w:rsid w:val="04B362E5"/>
    <w:rsid w:val="04D4743F"/>
    <w:rsid w:val="04E554EB"/>
    <w:rsid w:val="04FC6B0C"/>
    <w:rsid w:val="050F6B21"/>
    <w:rsid w:val="051D7863"/>
    <w:rsid w:val="05341DD6"/>
    <w:rsid w:val="05500BDA"/>
    <w:rsid w:val="05595CE0"/>
    <w:rsid w:val="055A296A"/>
    <w:rsid w:val="05665D07"/>
    <w:rsid w:val="05691D61"/>
    <w:rsid w:val="057014BB"/>
    <w:rsid w:val="05946D18"/>
    <w:rsid w:val="059705B7"/>
    <w:rsid w:val="05A30D0A"/>
    <w:rsid w:val="05D9472B"/>
    <w:rsid w:val="05E927B3"/>
    <w:rsid w:val="06242BA7"/>
    <w:rsid w:val="062A2A94"/>
    <w:rsid w:val="063D67A6"/>
    <w:rsid w:val="064E6EC7"/>
    <w:rsid w:val="068E130D"/>
    <w:rsid w:val="0692332E"/>
    <w:rsid w:val="06B07B82"/>
    <w:rsid w:val="06CB3E2B"/>
    <w:rsid w:val="06DA4BFF"/>
    <w:rsid w:val="06EB2968"/>
    <w:rsid w:val="06F15AA5"/>
    <w:rsid w:val="06F47235"/>
    <w:rsid w:val="06F66F8D"/>
    <w:rsid w:val="07092259"/>
    <w:rsid w:val="072B5A99"/>
    <w:rsid w:val="072D11D3"/>
    <w:rsid w:val="073A3C1B"/>
    <w:rsid w:val="073C1416"/>
    <w:rsid w:val="073C5FC7"/>
    <w:rsid w:val="0746683A"/>
    <w:rsid w:val="076B1CFB"/>
    <w:rsid w:val="07A015E5"/>
    <w:rsid w:val="07AE214A"/>
    <w:rsid w:val="07CD6628"/>
    <w:rsid w:val="07CF228A"/>
    <w:rsid w:val="08064CB2"/>
    <w:rsid w:val="08140BCF"/>
    <w:rsid w:val="083331A1"/>
    <w:rsid w:val="08387E2F"/>
    <w:rsid w:val="083A613A"/>
    <w:rsid w:val="0856764C"/>
    <w:rsid w:val="086F6121"/>
    <w:rsid w:val="08BB45BC"/>
    <w:rsid w:val="08C90A87"/>
    <w:rsid w:val="08E25FED"/>
    <w:rsid w:val="08E304C8"/>
    <w:rsid w:val="08F8732A"/>
    <w:rsid w:val="09271C52"/>
    <w:rsid w:val="09320D22"/>
    <w:rsid w:val="093305F6"/>
    <w:rsid w:val="09445F72"/>
    <w:rsid w:val="09540C99"/>
    <w:rsid w:val="09684744"/>
    <w:rsid w:val="096A1D24"/>
    <w:rsid w:val="09751B29"/>
    <w:rsid w:val="09937A14"/>
    <w:rsid w:val="09B50122"/>
    <w:rsid w:val="09B71A31"/>
    <w:rsid w:val="09C75F1C"/>
    <w:rsid w:val="09D92D83"/>
    <w:rsid w:val="09EC7123"/>
    <w:rsid w:val="09EF6C13"/>
    <w:rsid w:val="09F75AC8"/>
    <w:rsid w:val="09FA5707"/>
    <w:rsid w:val="0A0E52D7"/>
    <w:rsid w:val="0A2567D9"/>
    <w:rsid w:val="0A2D5046"/>
    <w:rsid w:val="0A3960E0"/>
    <w:rsid w:val="0A3E5BBE"/>
    <w:rsid w:val="0A546A76"/>
    <w:rsid w:val="0A6A4D21"/>
    <w:rsid w:val="0A73514E"/>
    <w:rsid w:val="0A7809B7"/>
    <w:rsid w:val="0A9030BC"/>
    <w:rsid w:val="0A982E07"/>
    <w:rsid w:val="0AAC2A5E"/>
    <w:rsid w:val="0ACB1484"/>
    <w:rsid w:val="0AD33E3F"/>
    <w:rsid w:val="0AED17C9"/>
    <w:rsid w:val="0B3F4E5B"/>
    <w:rsid w:val="0B4C7FDE"/>
    <w:rsid w:val="0B61144B"/>
    <w:rsid w:val="0B6947A3"/>
    <w:rsid w:val="0B773A65"/>
    <w:rsid w:val="0B783BED"/>
    <w:rsid w:val="0B90110D"/>
    <w:rsid w:val="0B930E89"/>
    <w:rsid w:val="0BAF758F"/>
    <w:rsid w:val="0BE34556"/>
    <w:rsid w:val="0C09727E"/>
    <w:rsid w:val="0C197F77"/>
    <w:rsid w:val="0C2A7A8F"/>
    <w:rsid w:val="0C3C101B"/>
    <w:rsid w:val="0C450A5A"/>
    <w:rsid w:val="0C4E759A"/>
    <w:rsid w:val="0C5745FC"/>
    <w:rsid w:val="0C5B4590"/>
    <w:rsid w:val="0C6A2581"/>
    <w:rsid w:val="0C6A7A1B"/>
    <w:rsid w:val="0C7958DA"/>
    <w:rsid w:val="0C994ACB"/>
    <w:rsid w:val="0CB11F5E"/>
    <w:rsid w:val="0CBD4716"/>
    <w:rsid w:val="0CD91A79"/>
    <w:rsid w:val="0CE642FD"/>
    <w:rsid w:val="0D046532"/>
    <w:rsid w:val="0D197B03"/>
    <w:rsid w:val="0D2A3ABE"/>
    <w:rsid w:val="0D3924D2"/>
    <w:rsid w:val="0D435454"/>
    <w:rsid w:val="0D44249F"/>
    <w:rsid w:val="0D4A7162"/>
    <w:rsid w:val="0D6D22AB"/>
    <w:rsid w:val="0DAD4070"/>
    <w:rsid w:val="0DC12675"/>
    <w:rsid w:val="0DC35420"/>
    <w:rsid w:val="0DDC300B"/>
    <w:rsid w:val="0DE22443"/>
    <w:rsid w:val="0DF447F8"/>
    <w:rsid w:val="0DF54FA2"/>
    <w:rsid w:val="0DFF70BF"/>
    <w:rsid w:val="0E042561"/>
    <w:rsid w:val="0E4137B5"/>
    <w:rsid w:val="0E511E41"/>
    <w:rsid w:val="0E5B4877"/>
    <w:rsid w:val="0E602178"/>
    <w:rsid w:val="0E6C78C1"/>
    <w:rsid w:val="0E712F15"/>
    <w:rsid w:val="0E9349E6"/>
    <w:rsid w:val="0EA53D44"/>
    <w:rsid w:val="0EC37A08"/>
    <w:rsid w:val="0ECB6A1E"/>
    <w:rsid w:val="0ED308B1"/>
    <w:rsid w:val="0EDF5A25"/>
    <w:rsid w:val="0EE51A96"/>
    <w:rsid w:val="0EF523A2"/>
    <w:rsid w:val="0EFA52A0"/>
    <w:rsid w:val="0F313DDB"/>
    <w:rsid w:val="0F4A2AEF"/>
    <w:rsid w:val="0F6B6D3C"/>
    <w:rsid w:val="0F8C5726"/>
    <w:rsid w:val="0F9E1DEF"/>
    <w:rsid w:val="0FA74617"/>
    <w:rsid w:val="0FC25C11"/>
    <w:rsid w:val="0FE01B27"/>
    <w:rsid w:val="0FE268D2"/>
    <w:rsid w:val="0FFA04A8"/>
    <w:rsid w:val="10086339"/>
    <w:rsid w:val="10161629"/>
    <w:rsid w:val="10294CBD"/>
    <w:rsid w:val="104D0D34"/>
    <w:rsid w:val="105A60FE"/>
    <w:rsid w:val="105C3861"/>
    <w:rsid w:val="107030C7"/>
    <w:rsid w:val="10775009"/>
    <w:rsid w:val="107F4892"/>
    <w:rsid w:val="108654B0"/>
    <w:rsid w:val="1090632E"/>
    <w:rsid w:val="10CE0724"/>
    <w:rsid w:val="10D25F6B"/>
    <w:rsid w:val="10DD5A17"/>
    <w:rsid w:val="10DE69A3"/>
    <w:rsid w:val="10E764A1"/>
    <w:rsid w:val="110626F0"/>
    <w:rsid w:val="11276DB8"/>
    <w:rsid w:val="112B2802"/>
    <w:rsid w:val="115E5879"/>
    <w:rsid w:val="117D079F"/>
    <w:rsid w:val="117F262B"/>
    <w:rsid w:val="11877731"/>
    <w:rsid w:val="118A0FD0"/>
    <w:rsid w:val="119D03B4"/>
    <w:rsid w:val="11A007F3"/>
    <w:rsid w:val="11CB1D14"/>
    <w:rsid w:val="11CB3AC2"/>
    <w:rsid w:val="11CC6B94"/>
    <w:rsid w:val="11DE1E00"/>
    <w:rsid w:val="11EB03F2"/>
    <w:rsid w:val="11EC795F"/>
    <w:rsid w:val="12176D07"/>
    <w:rsid w:val="122431D2"/>
    <w:rsid w:val="1235593F"/>
    <w:rsid w:val="124070C4"/>
    <w:rsid w:val="124473D0"/>
    <w:rsid w:val="124812CE"/>
    <w:rsid w:val="126F6B43"/>
    <w:rsid w:val="12920F20"/>
    <w:rsid w:val="12A52565"/>
    <w:rsid w:val="12C27D48"/>
    <w:rsid w:val="12D37C85"/>
    <w:rsid w:val="12EC5D3C"/>
    <w:rsid w:val="12FF4CC4"/>
    <w:rsid w:val="13173435"/>
    <w:rsid w:val="13370CE3"/>
    <w:rsid w:val="13453400"/>
    <w:rsid w:val="134C478E"/>
    <w:rsid w:val="135B54F1"/>
    <w:rsid w:val="136E4D87"/>
    <w:rsid w:val="138E09DF"/>
    <w:rsid w:val="13A03494"/>
    <w:rsid w:val="13A7330F"/>
    <w:rsid w:val="13C06F2A"/>
    <w:rsid w:val="13C7475D"/>
    <w:rsid w:val="13D95AA4"/>
    <w:rsid w:val="13E32C36"/>
    <w:rsid w:val="141627C4"/>
    <w:rsid w:val="14214D70"/>
    <w:rsid w:val="143A5CF9"/>
    <w:rsid w:val="14587163"/>
    <w:rsid w:val="147459C7"/>
    <w:rsid w:val="148368D6"/>
    <w:rsid w:val="14AA3E63"/>
    <w:rsid w:val="14AB1989"/>
    <w:rsid w:val="14BC54F2"/>
    <w:rsid w:val="14D9472A"/>
    <w:rsid w:val="14E06953"/>
    <w:rsid w:val="14EB7FD7"/>
    <w:rsid w:val="150A2B53"/>
    <w:rsid w:val="15164F5E"/>
    <w:rsid w:val="15211AFE"/>
    <w:rsid w:val="1526723E"/>
    <w:rsid w:val="152B6F6A"/>
    <w:rsid w:val="154C6CC8"/>
    <w:rsid w:val="155344FA"/>
    <w:rsid w:val="156E6D84"/>
    <w:rsid w:val="156F29B6"/>
    <w:rsid w:val="15750742"/>
    <w:rsid w:val="15916DD0"/>
    <w:rsid w:val="15966F8E"/>
    <w:rsid w:val="159B58EF"/>
    <w:rsid w:val="15BD3859"/>
    <w:rsid w:val="15BF1814"/>
    <w:rsid w:val="15C471A6"/>
    <w:rsid w:val="15D028B1"/>
    <w:rsid w:val="15E2762C"/>
    <w:rsid w:val="160E413B"/>
    <w:rsid w:val="161145BD"/>
    <w:rsid w:val="16123B48"/>
    <w:rsid w:val="162E2871"/>
    <w:rsid w:val="16452C82"/>
    <w:rsid w:val="16594B5C"/>
    <w:rsid w:val="16677E79"/>
    <w:rsid w:val="16761D66"/>
    <w:rsid w:val="168B1A72"/>
    <w:rsid w:val="168B3820"/>
    <w:rsid w:val="16AB3F17"/>
    <w:rsid w:val="16AE5A7C"/>
    <w:rsid w:val="16AF1AC7"/>
    <w:rsid w:val="16C51678"/>
    <w:rsid w:val="16C63867"/>
    <w:rsid w:val="16E82C3B"/>
    <w:rsid w:val="170E32B5"/>
    <w:rsid w:val="171032D3"/>
    <w:rsid w:val="17163A31"/>
    <w:rsid w:val="171E4694"/>
    <w:rsid w:val="17231CAA"/>
    <w:rsid w:val="172A5F31"/>
    <w:rsid w:val="1733210B"/>
    <w:rsid w:val="173D6404"/>
    <w:rsid w:val="1740285C"/>
    <w:rsid w:val="174A7237"/>
    <w:rsid w:val="174F484D"/>
    <w:rsid w:val="175C6F6A"/>
    <w:rsid w:val="17825FDC"/>
    <w:rsid w:val="17A76437"/>
    <w:rsid w:val="17A923E5"/>
    <w:rsid w:val="17B374D2"/>
    <w:rsid w:val="17D87F2C"/>
    <w:rsid w:val="17E92EF4"/>
    <w:rsid w:val="17EA00C0"/>
    <w:rsid w:val="17F87DD9"/>
    <w:rsid w:val="17FE5EF9"/>
    <w:rsid w:val="182609CA"/>
    <w:rsid w:val="18383533"/>
    <w:rsid w:val="18542BD6"/>
    <w:rsid w:val="185B0745"/>
    <w:rsid w:val="186165A9"/>
    <w:rsid w:val="1867217A"/>
    <w:rsid w:val="18700F1F"/>
    <w:rsid w:val="18822A00"/>
    <w:rsid w:val="188D0DCC"/>
    <w:rsid w:val="189751C5"/>
    <w:rsid w:val="18A1557C"/>
    <w:rsid w:val="18BB5CE1"/>
    <w:rsid w:val="18CC0216"/>
    <w:rsid w:val="18E3027A"/>
    <w:rsid w:val="19256BCF"/>
    <w:rsid w:val="194731D9"/>
    <w:rsid w:val="198527A8"/>
    <w:rsid w:val="198C3426"/>
    <w:rsid w:val="19D22C48"/>
    <w:rsid w:val="19F8580F"/>
    <w:rsid w:val="1A05301A"/>
    <w:rsid w:val="1A0939DC"/>
    <w:rsid w:val="1A393593"/>
    <w:rsid w:val="1A697B2B"/>
    <w:rsid w:val="1A792E91"/>
    <w:rsid w:val="1A8D39C9"/>
    <w:rsid w:val="1A9E2230"/>
    <w:rsid w:val="1AC252C2"/>
    <w:rsid w:val="1AE856E5"/>
    <w:rsid w:val="1AF05002"/>
    <w:rsid w:val="1B061915"/>
    <w:rsid w:val="1B07181B"/>
    <w:rsid w:val="1B0911B7"/>
    <w:rsid w:val="1B34011C"/>
    <w:rsid w:val="1B4C5D3A"/>
    <w:rsid w:val="1B60532C"/>
    <w:rsid w:val="1B617245"/>
    <w:rsid w:val="1B666609"/>
    <w:rsid w:val="1B7212FC"/>
    <w:rsid w:val="1B8371BB"/>
    <w:rsid w:val="1BA41F37"/>
    <w:rsid w:val="1BC54188"/>
    <w:rsid w:val="1BD8538F"/>
    <w:rsid w:val="1BE33139"/>
    <w:rsid w:val="1BE34724"/>
    <w:rsid w:val="1BE91714"/>
    <w:rsid w:val="1C0D3B4C"/>
    <w:rsid w:val="1C2A5750"/>
    <w:rsid w:val="1C436096"/>
    <w:rsid w:val="1C872CDB"/>
    <w:rsid w:val="1CAB417D"/>
    <w:rsid w:val="1CAE2F1B"/>
    <w:rsid w:val="1CB43816"/>
    <w:rsid w:val="1CBA04E3"/>
    <w:rsid w:val="1CC35432"/>
    <w:rsid w:val="1CC8120C"/>
    <w:rsid w:val="1CCB2BC8"/>
    <w:rsid w:val="1CCF76BF"/>
    <w:rsid w:val="1CDA1784"/>
    <w:rsid w:val="1CDE7F9A"/>
    <w:rsid w:val="1D220702"/>
    <w:rsid w:val="1D2B32ED"/>
    <w:rsid w:val="1D3C0D6B"/>
    <w:rsid w:val="1D502132"/>
    <w:rsid w:val="1D6628F1"/>
    <w:rsid w:val="1D670577"/>
    <w:rsid w:val="1D6C1D36"/>
    <w:rsid w:val="1D756FD8"/>
    <w:rsid w:val="1D7C2114"/>
    <w:rsid w:val="1D9E7946"/>
    <w:rsid w:val="1DB96E44"/>
    <w:rsid w:val="1DF61360"/>
    <w:rsid w:val="1E0F4D36"/>
    <w:rsid w:val="1E1C74EA"/>
    <w:rsid w:val="1E31169B"/>
    <w:rsid w:val="1E380731"/>
    <w:rsid w:val="1E386CA2"/>
    <w:rsid w:val="1E480248"/>
    <w:rsid w:val="1E485CD4"/>
    <w:rsid w:val="1E4A5D6E"/>
    <w:rsid w:val="1E5B15B0"/>
    <w:rsid w:val="1E5E7D3C"/>
    <w:rsid w:val="1E7E1EBC"/>
    <w:rsid w:val="1E8A1211"/>
    <w:rsid w:val="1E8A4613"/>
    <w:rsid w:val="1EAC229D"/>
    <w:rsid w:val="1EB8776E"/>
    <w:rsid w:val="1ED1523D"/>
    <w:rsid w:val="1EDA5344"/>
    <w:rsid w:val="1EE74B25"/>
    <w:rsid w:val="1EFB52BB"/>
    <w:rsid w:val="1F002C13"/>
    <w:rsid w:val="1F0A4171"/>
    <w:rsid w:val="1F1B50B8"/>
    <w:rsid w:val="1F1C654D"/>
    <w:rsid w:val="1F351620"/>
    <w:rsid w:val="1F3D1AEC"/>
    <w:rsid w:val="1F605D1E"/>
    <w:rsid w:val="1F6133D7"/>
    <w:rsid w:val="1F7C63FB"/>
    <w:rsid w:val="1F82121F"/>
    <w:rsid w:val="1F964F67"/>
    <w:rsid w:val="1F9B5156"/>
    <w:rsid w:val="1FA616CA"/>
    <w:rsid w:val="1FD06747"/>
    <w:rsid w:val="1FDB3563"/>
    <w:rsid w:val="1FE02E2E"/>
    <w:rsid w:val="1FF9013E"/>
    <w:rsid w:val="1FFC578E"/>
    <w:rsid w:val="200C59D1"/>
    <w:rsid w:val="200F101E"/>
    <w:rsid w:val="20111BFD"/>
    <w:rsid w:val="202B2A1E"/>
    <w:rsid w:val="204038CD"/>
    <w:rsid w:val="207227D1"/>
    <w:rsid w:val="20773111"/>
    <w:rsid w:val="208A45CA"/>
    <w:rsid w:val="20AF2801"/>
    <w:rsid w:val="20B00A53"/>
    <w:rsid w:val="20C4005A"/>
    <w:rsid w:val="20C86BEF"/>
    <w:rsid w:val="20CE40D7"/>
    <w:rsid w:val="20D94502"/>
    <w:rsid w:val="20F035D6"/>
    <w:rsid w:val="20F13780"/>
    <w:rsid w:val="21042673"/>
    <w:rsid w:val="21154D5A"/>
    <w:rsid w:val="213F7C4E"/>
    <w:rsid w:val="21472A39"/>
    <w:rsid w:val="21A9453E"/>
    <w:rsid w:val="21B3356B"/>
    <w:rsid w:val="21BA145D"/>
    <w:rsid w:val="21CD1190"/>
    <w:rsid w:val="21E46221"/>
    <w:rsid w:val="22004323"/>
    <w:rsid w:val="22134514"/>
    <w:rsid w:val="221A1EFC"/>
    <w:rsid w:val="2226063A"/>
    <w:rsid w:val="22397A97"/>
    <w:rsid w:val="226118D9"/>
    <w:rsid w:val="22753CAF"/>
    <w:rsid w:val="227A3680"/>
    <w:rsid w:val="22A72819"/>
    <w:rsid w:val="22A85447"/>
    <w:rsid w:val="22AD164D"/>
    <w:rsid w:val="22E03082"/>
    <w:rsid w:val="22E83DA8"/>
    <w:rsid w:val="22EB256B"/>
    <w:rsid w:val="2306277A"/>
    <w:rsid w:val="23130E25"/>
    <w:rsid w:val="23203542"/>
    <w:rsid w:val="23304FDA"/>
    <w:rsid w:val="2346654F"/>
    <w:rsid w:val="23497A21"/>
    <w:rsid w:val="234B06F7"/>
    <w:rsid w:val="234F5BD5"/>
    <w:rsid w:val="23511E39"/>
    <w:rsid w:val="23566F63"/>
    <w:rsid w:val="237F461C"/>
    <w:rsid w:val="238C0BD7"/>
    <w:rsid w:val="23A83C63"/>
    <w:rsid w:val="23D9610A"/>
    <w:rsid w:val="23DF5481"/>
    <w:rsid w:val="23F41552"/>
    <w:rsid w:val="240E7BCD"/>
    <w:rsid w:val="240F44E6"/>
    <w:rsid w:val="24101DDA"/>
    <w:rsid w:val="241F18CE"/>
    <w:rsid w:val="24455956"/>
    <w:rsid w:val="244A6AC8"/>
    <w:rsid w:val="245C0F62"/>
    <w:rsid w:val="248A3369"/>
    <w:rsid w:val="24A63853"/>
    <w:rsid w:val="24A94A35"/>
    <w:rsid w:val="24B403E6"/>
    <w:rsid w:val="24B5515E"/>
    <w:rsid w:val="24B633AC"/>
    <w:rsid w:val="24C06D8A"/>
    <w:rsid w:val="24C51723"/>
    <w:rsid w:val="24C9654C"/>
    <w:rsid w:val="24DB1E16"/>
    <w:rsid w:val="24ED56A6"/>
    <w:rsid w:val="2513335E"/>
    <w:rsid w:val="25212A05"/>
    <w:rsid w:val="25213BD6"/>
    <w:rsid w:val="252972DC"/>
    <w:rsid w:val="254908EF"/>
    <w:rsid w:val="2551032A"/>
    <w:rsid w:val="259C77F7"/>
    <w:rsid w:val="25EB54A9"/>
    <w:rsid w:val="25F054F3"/>
    <w:rsid w:val="25F6722D"/>
    <w:rsid w:val="26150671"/>
    <w:rsid w:val="26245286"/>
    <w:rsid w:val="26265313"/>
    <w:rsid w:val="264A6478"/>
    <w:rsid w:val="265579A6"/>
    <w:rsid w:val="267217B7"/>
    <w:rsid w:val="269F0C21"/>
    <w:rsid w:val="26A139B0"/>
    <w:rsid w:val="26A52C86"/>
    <w:rsid w:val="26BD4C13"/>
    <w:rsid w:val="26DA36A3"/>
    <w:rsid w:val="270858F0"/>
    <w:rsid w:val="270C3230"/>
    <w:rsid w:val="27103BF0"/>
    <w:rsid w:val="27167136"/>
    <w:rsid w:val="271F19F6"/>
    <w:rsid w:val="2727432F"/>
    <w:rsid w:val="273F48DE"/>
    <w:rsid w:val="27477291"/>
    <w:rsid w:val="276C4FA7"/>
    <w:rsid w:val="278B38CB"/>
    <w:rsid w:val="278B62D4"/>
    <w:rsid w:val="27A857E8"/>
    <w:rsid w:val="27BA3F65"/>
    <w:rsid w:val="27D50D9F"/>
    <w:rsid w:val="27DF3E1C"/>
    <w:rsid w:val="27E93DAA"/>
    <w:rsid w:val="280B10A0"/>
    <w:rsid w:val="281F3C40"/>
    <w:rsid w:val="28552746"/>
    <w:rsid w:val="286B525F"/>
    <w:rsid w:val="287C0040"/>
    <w:rsid w:val="28834C1E"/>
    <w:rsid w:val="289F4FBE"/>
    <w:rsid w:val="28AF3C3F"/>
    <w:rsid w:val="28B21B3D"/>
    <w:rsid w:val="28BC6695"/>
    <w:rsid w:val="28C57969"/>
    <w:rsid w:val="28D01566"/>
    <w:rsid w:val="28FC05AD"/>
    <w:rsid w:val="290508CC"/>
    <w:rsid w:val="2931731C"/>
    <w:rsid w:val="294E5BD7"/>
    <w:rsid w:val="29502C59"/>
    <w:rsid w:val="29543D0E"/>
    <w:rsid w:val="296A19BB"/>
    <w:rsid w:val="296C5B24"/>
    <w:rsid w:val="29745EA7"/>
    <w:rsid w:val="2980174C"/>
    <w:rsid w:val="29A21C46"/>
    <w:rsid w:val="29AE0AF3"/>
    <w:rsid w:val="29C3693C"/>
    <w:rsid w:val="29E17ECF"/>
    <w:rsid w:val="29E571BC"/>
    <w:rsid w:val="2A4418C4"/>
    <w:rsid w:val="2A510485"/>
    <w:rsid w:val="2A600304"/>
    <w:rsid w:val="2A612DBE"/>
    <w:rsid w:val="2A624E33"/>
    <w:rsid w:val="2A726D79"/>
    <w:rsid w:val="2A8509B6"/>
    <w:rsid w:val="2A922F77"/>
    <w:rsid w:val="2AA41A77"/>
    <w:rsid w:val="2AB54EB7"/>
    <w:rsid w:val="2ACD573D"/>
    <w:rsid w:val="2AD25A69"/>
    <w:rsid w:val="2AF94DA4"/>
    <w:rsid w:val="2AFA5BA6"/>
    <w:rsid w:val="2AFC5E0A"/>
    <w:rsid w:val="2B134F5D"/>
    <w:rsid w:val="2B342F20"/>
    <w:rsid w:val="2B3D78C7"/>
    <w:rsid w:val="2B5A5EB7"/>
    <w:rsid w:val="2B632842"/>
    <w:rsid w:val="2B7C5D18"/>
    <w:rsid w:val="2BBE3C2A"/>
    <w:rsid w:val="2BFF1816"/>
    <w:rsid w:val="2C10582E"/>
    <w:rsid w:val="2C542C73"/>
    <w:rsid w:val="2C576226"/>
    <w:rsid w:val="2CA721FE"/>
    <w:rsid w:val="2CA90A4C"/>
    <w:rsid w:val="2CAF7BA5"/>
    <w:rsid w:val="2CC03D78"/>
    <w:rsid w:val="2CC2260F"/>
    <w:rsid w:val="2CC3794E"/>
    <w:rsid w:val="2CD930DF"/>
    <w:rsid w:val="2CDA0C05"/>
    <w:rsid w:val="2CDB6666"/>
    <w:rsid w:val="2D0266C7"/>
    <w:rsid w:val="2D0B7011"/>
    <w:rsid w:val="2D0D4CD1"/>
    <w:rsid w:val="2D1A7254"/>
    <w:rsid w:val="2D1B349D"/>
    <w:rsid w:val="2D4D3ECB"/>
    <w:rsid w:val="2D5343D6"/>
    <w:rsid w:val="2D5A5F8F"/>
    <w:rsid w:val="2D5D06F9"/>
    <w:rsid w:val="2D6D1A79"/>
    <w:rsid w:val="2D6D7CCB"/>
    <w:rsid w:val="2D883418"/>
    <w:rsid w:val="2D8B6F64"/>
    <w:rsid w:val="2D9139BA"/>
    <w:rsid w:val="2D951AED"/>
    <w:rsid w:val="2DA07D42"/>
    <w:rsid w:val="2DA82AB1"/>
    <w:rsid w:val="2DBC7ECA"/>
    <w:rsid w:val="2DD36DD2"/>
    <w:rsid w:val="2DDD6BFF"/>
    <w:rsid w:val="2DF002CB"/>
    <w:rsid w:val="2E055FFA"/>
    <w:rsid w:val="2E625356"/>
    <w:rsid w:val="2E725599"/>
    <w:rsid w:val="2E774415"/>
    <w:rsid w:val="2E840583"/>
    <w:rsid w:val="2E8901F5"/>
    <w:rsid w:val="2E894691"/>
    <w:rsid w:val="2E9C1044"/>
    <w:rsid w:val="2ECE3C7A"/>
    <w:rsid w:val="2EE66837"/>
    <w:rsid w:val="2EE86677"/>
    <w:rsid w:val="2EED10C4"/>
    <w:rsid w:val="2F056976"/>
    <w:rsid w:val="2F1E02E5"/>
    <w:rsid w:val="2F7A5671"/>
    <w:rsid w:val="2F8E5AF1"/>
    <w:rsid w:val="2FA309FE"/>
    <w:rsid w:val="2FAD5CB7"/>
    <w:rsid w:val="2FC028AD"/>
    <w:rsid w:val="2FC33BD3"/>
    <w:rsid w:val="2FC42079"/>
    <w:rsid w:val="2FE83639"/>
    <w:rsid w:val="2FED12B3"/>
    <w:rsid w:val="2FF04310"/>
    <w:rsid w:val="3006785F"/>
    <w:rsid w:val="30376D8D"/>
    <w:rsid w:val="3038386A"/>
    <w:rsid w:val="308646DC"/>
    <w:rsid w:val="30A734F4"/>
    <w:rsid w:val="30C81A5E"/>
    <w:rsid w:val="30D34195"/>
    <w:rsid w:val="30DA1996"/>
    <w:rsid w:val="30E107B4"/>
    <w:rsid w:val="310C5D1C"/>
    <w:rsid w:val="311B6F44"/>
    <w:rsid w:val="313703D4"/>
    <w:rsid w:val="3157117D"/>
    <w:rsid w:val="3174375B"/>
    <w:rsid w:val="317A1665"/>
    <w:rsid w:val="31AA329C"/>
    <w:rsid w:val="31BE4652"/>
    <w:rsid w:val="31C12394"/>
    <w:rsid w:val="31C40513"/>
    <w:rsid w:val="31C65CEF"/>
    <w:rsid w:val="31D9592F"/>
    <w:rsid w:val="31F32022"/>
    <w:rsid w:val="320273FC"/>
    <w:rsid w:val="323D6361"/>
    <w:rsid w:val="323F584D"/>
    <w:rsid w:val="324F25F7"/>
    <w:rsid w:val="327D62BB"/>
    <w:rsid w:val="328E6DC4"/>
    <w:rsid w:val="330C4D6D"/>
    <w:rsid w:val="3312211E"/>
    <w:rsid w:val="33161652"/>
    <w:rsid w:val="33222B6D"/>
    <w:rsid w:val="3323424A"/>
    <w:rsid w:val="33287A90"/>
    <w:rsid w:val="333947FA"/>
    <w:rsid w:val="334B5119"/>
    <w:rsid w:val="334B63B9"/>
    <w:rsid w:val="3357359E"/>
    <w:rsid w:val="3371211A"/>
    <w:rsid w:val="3398538F"/>
    <w:rsid w:val="33C1667B"/>
    <w:rsid w:val="33C20C44"/>
    <w:rsid w:val="33C45845"/>
    <w:rsid w:val="33D463AE"/>
    <w:rsid w:val="33EE3001"/>
    <w:rsid w:val="33F86541"/>
    <w:rsid w:val="33FC0A9C"/>
    <w:rsid w:val="34192711"/>
    <w:rsid w:val="3431735D"/>
    <w:rsid w:val="34545741"/>
    <w:rsid w:val="3483790E"/>
    <w:rsid w:val="34A40C84"/>
    <w:rsid w:val="34A55F9D"/>
    <w:rsid w:val="34CC2F6A"/>
    <w:rsid w:val="34F211E2"/>
    <w:rsid w:val="34F565DC"/>
    <w:rsid w:val="352247C5"/>
    <w:rsid w:val="353544AB"/>
    <w:rsid w:val="35366BF5"/>
    <w:rsid w:val="355034B5"/>
    <w:rsid w:val="35834F4D"/>
    <w:rsid w:val="35867B7C"/>
    <w:rsid w:val="35A31E51"/>
    <w:rsid w:val="35A46AED"/>
    <w:rsid w:val="35A67568"/>
    <w:rsid w:val="35A95619"/>
    <w:rsid w:val="35B53FBD"/>
    <w:rsid w:val="35DB3BDF"/>
    <w:rsid w:val="35DE565D"/>
    <w:rsid w:val="35F30557"/>
    <w:rsid w:val="363168D0"/>
    <w:rsid w:val="36A132FC"/>
    <w:rsid w:val="36C2375A"/>
    <w:rsid w:val="36C46BAE"/>
    <w:rsid w:val="36C72E87"/>
    <w:rsid w:val="36D14E27"/>
    <w:rsid w:val="36F56E2C"/>
    <w:rsid w:val="36F71102"/>
    <w:rsid w:val="37270EEB"/>
    <w:rsid w:val="377D0B0B"/>
    <w:rsid w:val="379824DC"/>
    <w:rsid w:val="37B132FD"/>
    <w:rsid w:val="37B645D5"/>
    <w:rsid w:val="37BF2ED1"/>
    <w:rsid w:val="37E66D00"/>
    <w:rsid w:val="37ED6F07"/>
    <w:rsid w:val="37F039D3"/>
    <w:rsid w:val="37F158AF"/>
    <w:rsid w:val="38055F55"/>
    <w:rsid w:val="380F0744"/>
    <w:rsid w:val="38134EDE"/>
    <w:rsid w:val="382605E4"/>
    <w:rsid w:val="38284F1B"/>
    <w:rsid w:val="3867083F"/>
    <w:rsid w:val="38735765"/>
    <w:rsid w:val="38796817"/>
    <w:rsid w:val="3882287D"/>
    <w:rsid w:val="38840518"/>
    <w:rsid w:val="388F4EFD"/>
    <w:rsid w:val="38934A8A"/>
    <w:rsid w:val="38C767FB"/>
    <w:rsid w:val="38CC58A6"/>
    <w:rsid w:val="38D42F1E"/>
    <w:rsid w:val="38D67BF2"/>
    <w:rsid w:val="38EA1785"/>
    <w:rsid w:val="38F420E2"/>
    <w:rsid w:val="39113C01"/>
    <w:rsid w:val="391433F9"/>
    <w:rsid w:val="39226EE1"/>
    <w:rsid w:val="39300AB6"/>
    <w:rsid w:val="39477622"/>
    <w:rsid w:val="39496A30"/>
    <w:rsid w:val="394C12CD"/>
    <w:rsid w:val="3972753A"/>
    <w:rsid w:val="39BC3B6C"/>
    <w:rsid w:val="39CE33C6"/>
    <w:rsid w:val="39D66A3B"/>
    <w:rsid w:val="39D87007"/>
    <w:rsid w:val="39ED31E9"/>
    <w:rsid w:val="3A0866B0"/>
    <w:rsid w:val="3A204C74"/>
    <w:rsid w:val="3A281202"/>
    <w:rsid w:val="3A287454"/>
    <w:rsid w:val="3A377697"/>
    <w:rsid w:val="3A480176"/>
    <w:rsid w:val="3A844E18"/>
    <w:rsid w:val="3ADB7B2A"/>
    <w:rsid w:val="3AEC2C8F"/>
    <w:rsid w:val="3AFB7873"/>
    <w:rsid w:val="3B0C0B24"/>
    <w:rsid w:val="3B161D85"/>
    <w:rsid w:val="3B357B72"/>
    <w:rsid w:val="3B417EF1"/>
    <w:rsid w:val="3B43176C"/>
    <w:rsid w:val="3B506C62"/>
    <w:rsid w:val="3B540563"/>
    <w:rsid w:val="3B6170F3"/>
    <w:rsid w:val="3B673C33"/>
    <w:rsid w:val="3B8B29BF"/>
    <w:rsid w:val="3BC125F7"/>
    <w:rsid w:val="3BD845CF"/>
    <w:rsid w:val="3BF622A2"/>
    <w:rsid w:val="3C0C0085"/>
    <w:rsid w:val="3C0D2688"/>
    <w:rsid w:val="3C125CC6"/>
    <w:rsid w:val="3C285242"/>
    <w:rsid w:val="3C286460"/>
    <w:rsid w:val="3C371BD0"/>
    <w:rsid w:val="3C614D9D"/>
    <w:rsid w:val="3C88327C"/>
    <w:rsid w:val="3CA37266"/>
    <w:rsid w:val="3CD70CBD"/>
    <w:rsid w:val="3CDB255C"/>
    <w:rsid w:val="3CE27D8E"/>
    <w:rsid w:val="3CE41795"/>
    <w:rsid w:val="3CF50F55"/>
    <w:rsid w:val="3D051486"/>
    <w:rsid w:val="3D1C61BA"/>
    <w:rsid w:val="3D3718F3"/>
    <w:rsid w:val="3D3879AE"/>
    <w:rsid w:val="3D56063C"/>
    <w:rsid w:val="3D654C29"/>
    <w:rsid w:val="3D841C2C"/>
    <w:rsid w:val="3D92003B"/>
    <w:rsid w:val="3DA60DBB"/>
    <w:rsid w:val="3DAB0098"/>
    <w:rsid w:val="3DC70D32"/>
    <w:rsid w:val="3DD86A9B"/>
    <w:rsid w:val="3E092AF6"/>
    <w:rsid w:val="3E0B0C1F"/>
    <w:rsid w:val="3E173A67"/>
    <w:rsid w:val="3E3A0D01"/>
    <w:rsid w:val="3E3D2887"/>
    <w:rsid w:val="3E4578B2"/>
    <w:rsid w:val="3E495035"/>
    <w:rsid w:val="3E5325C6"/>
    <w:rsid w:val="3E5F0F6A"/>
    <w:rsid w:val="3E650498"/>
    <w:rsid w:val="3E95697D"/>
    <w:rsid w:val="3EC5515A"/>
    <w:rsid w:val="3EC75C63"/>
    <w:rsid w:val="3ED01D61"/>
    <w:rsid w:val="3EE30805"/>
    <w:rsid w:val="3EF67501"/>
    <w:rsid w:val="3F016110"/>
    <w:rsid w:val="3F1E2BD3"/>
    <w:rsid w:val="3F2159AC"/>
    <w:rsid w:val="3F4329D3"/>
    <w:rsid w:val="3F504BCE"/>
    <w:rsid w:val="3F5A26BB"/>
    <w:rsid w:val="3F710188"/>
    <w:rsid w:val="3F7573C6"/>
    <w:rsid w:val="3F7647BE"/>
    <w:rsid w:val="3F775454"/>
    <w:rsid w:val="3F781034"/>
    <w:rsid w:val="3F870779"/>
    <w:rsid w:val="3F8844F1"/>
    <w:rsid w:val="3F8A10E1"/>
    <w:rsid w:val="3FB218B1"/>
    <w:rsid w:val="3FB53538"/>
    <w:rsid w:val="3FC75019"/>
    <w:rsid w:val="3FC97A19"/>
    <w:rsid w:val="3FFD7456"/>
    <w:rsid w:val="401D01DC"/>
    <w:rsid w:val="401D2E8B"/>
    <w:rsid w:val="402046C9"/>
    <w:rsid w:val="402B10C9"/>
    <w:rsid w:val="403326AF"/>
    <w:rsid w:val="405C7E57"/>
    <w:rsid w:val="405E2ACD"/>
    <w:rsid w:val="408C16D6"/>
    <w:rsid w:val="40D914A8"/>
    <w:rsid w:val="40EA5463"/>
    <w:rsid w:val="411F1562"/>
    <w:rsid w:val="41440B79"/>
    <w:rsid w:val="41597EF3"/>
    <w:rsid w:val="41AB0008"/>
    <w:rsid w:val="41AE6491"/>
    <w:rsid w:val="41CF48A4"/>
    <w:rsid w:val="41F30B00"/>
    <w:rsid w:val="41F72E53"/>
    <w:rsid w:val="42295B17"/>
    <w:rsid w:val="422A2B5F"/>
    <w:rsid w:val="423A41C8"/>
    <w:rsid w:val="42434BCC"/>
    <w:rsid w:val="42507F6F"/>
    <w:rsid w:val="42840489"/>
    <w:rsid w:val="42870A90"/>
    <w:rsid w:val="42A11B51"/>
    <w:rsid w:val="42A47894"/>
    <w:rsid w:val="42A938E9"/>
    <w:rsid w:val="42B631A4"/>
    <w:rsid w:val="42E47C90"/>
    <w:rsid w:val="42EF45B7"/>
    <w:rsid w:val="433520DD"/>
    <w:rsid w:val="43661FA0"/>
    <w:rsid w:val="43776106"/>
    <w:rsid w:val="43880D4D"/>
    <w:rsid w:val="438954D8"/>
    <w:rsid w:val="439B26E7"/>
    <w:rsid w:val="43BE6733"/>
    <w:rsid w:val="43F54E0C"/>
    <w:rsid w:val="43F80E3B"/>
    <w:rsid w:val="440F1F6B"/>
    <w:rsid w:val="44214449"/>
    <w:rsid w:val="442A6564"/>
    <w:rsid w:val="442B6FD9"/>
    <w:rsid w:val="443E2781"/>
    <w:rsid w:val="446C5795"/>
    <w:rsid w:val="44810672"/>
    <w:rsid w:val="44863DF2"/>
    <w:rsid w:val="449E2D2B"/>
    <w:rsid w:val="44A92F3F"/>
    <w:rsid w:val="44B12295"/>
    <w:rsid w:val="44BC0EC5"/>
    <w:rsid w:val="44D06EA0"/>
    <w:rsid w:val="44D97CC8"/>
    <w:rsid w:val="44DA7756"/>
    <w:rsid w:val="44F114C2"/>
    <w:rsid w:val="45246A6A"/>
    <w:rsid w:val="4526359E"/>
    <w:rsid w:val="45287022"/>
    <w:rsid w:val="452F1F6D"/>
    <w:rsid w:val="455E3FF9"/>
    <w:rsid w:val="458B78BB"/>
    <w:rsid w:val="459C2641"/>
    <w:rsid w:val="45A02594"/>
    <w:rsid w:val="45CC0877"/>
    <w:rsid w:val="45CF4C28"/>
    <w:rsid w:val="45EB6914"/>
    <w:rsid w:val="45EC037C"/>
    <w:rsid w:val="46236E42"/>
    <w:rsid w:val="465045C6"/>
    <w:rsid w:val="465A4D7A"/>
    <w:rsid w:val="466E00FB"/>
    <w:rsid w:val="467C4868"/>
    <w:rsid w:val="468D0568"/>
    <w:rsid w:val="46AF1FF1"/>
    <w:rsid w:val="46DC6F27"/>
    <w:rsid w:val="46E308E7"/>
    <w:rsid w:val="46F07EA1"/>
    <w:rsid w:val="46FF0A6F"/>
    <w:rsid w:val="471709A3"/>
    <w:rsid w:val="473F7B8B"/>
    <w:rsid w:val="474156B1"/>
    <w:rsid w:val="475950F1"/>
    <w:rsid w:val="47653A14"/>
    <w:rsid w:val="47827019"/>
    <w:rsid w:val="478358A5"/>
    <w:rsid w:val="47C1616F"/>
    <w:rsid w:val="47DD7AD0"/>
    <w:rsid w:val="4800301B"/>
    <w:rsid w:val="48073347"/>
    <w:rsid w:val="480D1A37"/>
    <w:rsid w:val="481460E6"/>
    <w:rsid w:val="48382F58"/>
    <w:rsid w:val="486378A9"/>
    <w:rsid w:val="48677B6A"/>
    <w:rsid w:val="486E56AD"/>
    <w:rsid w:val="486E667E"/>
    <w:rsid w:val="486F26F2"/>
    <w:rsid w:val="48A27310"/>
    <w:rsid w:val="48B246A3"/>
    <w:rsid w:val="48B757CE"/>
    <w:rsid w:val="48C742DC"/>
    <w:rsid w:val="48D11064"/>
    <w:rsid w:val="48F36D4E"/>
    <w:rsid w:val="49366288"/>
    <w:rsid w:val="495C4A24"/>
    <w:rsid w:val="496B2EB9"/>
    <w:rsid w:val="496D6C31"/>
    <w:rsid w:val="497B3598"/>
    <w:rsid w:val="498D2E30"/>
    <w:rsid w:val="49935F6C"/>
    <w:rsid w:val="49DB5E2A"/>
    <w:rsid w:val="49E37C94"/>
    <w:rsid w:val="4A003601"/>
    <w:rsid w:val="4A0B76F9"/>
    <w:rsid w:val="4A11580F"/>
    <w:rsid w:val="4A162E25"/>
    <w:rsid w:val="4A274D1D"/>
    <w:rsid w:val="4A59795A"/>
    <w:rsid w:val="4ACE3F5A"/>
    <w:rsid w:val="4AD66B87"/>
    <w:rsid w:val="4AE71F35"/>
    <w:rsid w:val="4AF41840"/>
    <w:rsid w:val="4B063F8B"/>
    <w:rsid w:val="4B156C6D"/>
    <w:rsid w:val="4B1858EA"/>
    <w:rsid w:val="4B272E10"/>
    <w:rsid w:val="4B2D5D20"/>
    <w:rsid w:val="4B4C3654"/>
    <w:rsid w:val="4B5661FF"/>
    <w:rsid w:val="4B661B8A"/>
    <w:rsid w:val="4B6B345B"/>
    <w:rsid w:val="4B9463E3"/>
    <w:rsid w:val="4B9E0725"/>
    <w:rsid w:val="4BDC6390"/>
    <w:rsid w:val="4BEA4516"/>
    <w:rsid w:val="4BFA0524"/>
    <w:rsid w:val="4C0B4257"/>
    <w:rsid w:val="4C271225"/>
    <w:rsid w:val="4C4356B1"/>
    <w:rsid w:val="4C5164E3"/>
    <w:rsid w:val="4C5C1AD1"/>
    <w:rsid w:val="4CA26BF2"/>
    <w:rsid w:val="4CBB7CB4"/>
    <w:rsid w:val="4CBD4EFA"/>
    <w:rsid w:val="4CC6178F"/>
    <w:rsid w:val="4CD852A5"/>
    <w:rsid w:val="4CD97E11"/>
    <w:rsid w:val="4CDA2830"/>
    <w:rsid w:val="4CEF5BAF"/>
    <w:rsid w:val="4D057181"/>
    <w:rsid w:val="4D3B140B"/>
    <w:rsid w:val="4D4E28D6"/>
    <w:rsid w:val="4D533B26"/>
    <w:rsid w:val="4D561E9A"/>
    <w:rsid w:val="4D636798"/>
    <w:rsid w:val="4D6420F9"/>
    <w:rsid w:val="4D6D0888"/>
    <w:rsid w:val="4D743286"/>
    <w:rsid w:val="4D981DA3"/>
    <w:rsid w:val="4D9846FB"/>
    <w:rsid w:val="4D9A25FC"/>
    <w:rsid w:val="4DA3197C"/>
    <w:rsid w:val="4DC135E4"/>
    <w:rsid w:val="4DC64B62"/>
    <w:rsid w:val="4DE57FF5"/>
    <w:rsid w:val="4DF867D9"/>
    <w:rsid w:val="4E202B08"/>
    <w:rsid w:val="4E21448E"/>
    <w:rsid w:val="4E3E4798"/>
    <w:rsid w:val="4E4B6A77"/>
    <w:rsid w:val="4E606D65"/>
    <w:rsid w:val="4E630603"/>
    <w:rsid w:val="4E7445BE"/>
    <w:rsid w:val="4E834801"/>
    <w:rsid w:val="4EAD7AD0"/>
    <w:rsid w:val="4EBB21ED"/>
    <w:rsid w:val="4EE96D5A"/>
    <w:rsid w:val="4EF231F8"/>
    <w:rsid w:val="4EF37190"/>
    <w:rsid w:val="4F0D788A"/>
    <w:rsid w:val="4F2A27A8"/>
    <w:rsid w:val="4F394800"/>
    <w:rsid w:val="4F420168"/>
    <w:rsid w:val="4F4C62E4"/>
    <w:rsid w:val="4F4D2326"/>
    <w:rsid w:val="4F744081"/>
    <w:rsid w:val="4F7A20A8"/>
    <w:rsid w:val="4F9068ED"/>
    <w:rsid w:val="4F9F566B"/>
    <w:rsid w:val="4FA762E4"/>
    <w:rsid w:val="4FB2200B"/>
    <w:rsid w:val="4FD5108C"/>
    <w:rsid w:val="4FEA069D"/>
    <w:rsid w:val="4FEE65F2"/>
    <w:rsid w:val="50004228"/>
    <w:rsid w:val="502F4C40"/>
    <w:rsid w:val="50367436"/>
    <w:rsid w:val="50410747"/>
    <w:rsid w:val="506568B4"/>
    <w:rsid w:val="507B1244"/>
    <w:rsid w:val="508274FC"/>
    <w:rsid w:val="508F3931"/>
    <w:rsid w:val="50903205"/>
    <w:rsid w:val="50AB20B6"/>
    <w:rsid w:val="50E34585"/>
    <w:rsid w:val="50F87728"/>
    <w:rsid w:val="50FE4613"/>
    <w:rsid w:val="51285772"/>
    <w:rsid w:val="513E6B21"/>
    <w:rsid w:val="516A3A56"/>
    <w:rsid w:val="518F04F0"/>
    <w:rsid w:val="519805C3"/>
    <w:rsid w:val="519B4E25"/>
    <w:rsid w:val="51C10B5D"/>
    <w:rsid w:val="51C64ADC"/>
    <w:rsid w:val="51CE2237"/>
    <w:rsid w:val="51D51818"/>
    <w:rsid w:val="51D5428B"/>
    <w:rsid w:val="51F24178"/>
    <w:rsid w:val="51F66206"/>
    <w:rsid w:val="51FF1FBF"/>
    <w:rsid w:val="52036906"/>
    <w:rsid w:val="52211FB1"/>
    <w:rsid w:val="522E0F28"/>
    <w:rsid w:val="523522B6"/>
    <w:rsid w:val="52726C40"/>
    <w:rsid w:val="52D675F5"/>
    <w:rsid w:val="52FC2DD4"/>
    <w:rsid w:val="530C4E1D"/>
    <w:rsid w:val="534529CD"/>
    <w:rsid w:val="53486019"/>
    <w:rsid w:val="536231A5"/>
    <w:rsid w:val="5382777D"/>
    <w:rsid w:val="53990623"/>
    <w:rsid w:val="539F20DD"/>
    <w:rsid w:val="53AB0459"/>
    <w:rsid w:val="53B11E10"/>
    <w:rsid w:val="53B7242A"/>
    <w:rsid w:val="53E75832"/>
    <w:rsid w:val="53EB5322"/>
    <w:rsid w:val="540B1521"/>
    <w:rsid w:val="545E17CF"/>
    <w:rsid w:val="54740EF6"/>
    <w:rsid w:val="54751A6A"/>
    <w:rsid w:val="547974A6"/>
    <w:rsid w:val="548047B0"/>
    <w:rsid w:val="54863351"/>
    <w:rsid w:val="548B742D"/>
    <w:rsid w:val="54905ECA"/>
    <w:rsid w:val="5495703C"/>
    <w:rsid w:val="549E4143"/>
    <w:rsid w:val="54F40207"/>
    <w:rsid w:val="54FE6F60"/>
    <w:rsid w:val="551E5284"/>
    <w:rsid w:val="552677EE"/>
    <w:rsid w:val="5544122B"/>
    <w:rsid w:val="55527E23"/>
    <w:rsid w:val="55574974"/>
    <w:rsid w:val="555F184B"/>
    <w:rsid w:val="55733821"/>
    <w:rsid w:val="55796612"/>
    <w:rsid w:val="557B4484"/>
    <w:rsid w:val="557D24CD"/>
    <w:rsid w:val="55AE2AAB"/>
    <w:rsid w:val="55C0633B"/>
    <w:rsid w:val="55DB2BCD"/>
    <w:rsid w:val="55DE48E4"/>
    <w:rsid w:val="56035706"/>
    <w:rsid w:val="560C332E"/>
    <w:rsid w:val="56101BD4"/>
    <w:rsid w:val="56127DA4"/>
    <w:rsid w:val="5629093B"/>
    <w:rsid w:val="56456005"/>
    <w:rsid w:val="56512005"/>
    <w:rsid w:val="566B274A"/>
    <w:rsid w:val="56701932"/>
    <w:rsid w:val="567D3C0C"/>
    <w:rsid w:val="567D7DD7"/>
    <w:rsid w:val="56820E5A"/>
    <w:rsid w:val="568C029A"/>
    <w:rsid w:val="56905D0D"/>
    <w:rsid w:val="569459B4"/>
    <w:rsid w:val="56A33C92"/>
    <w:rsid w:val="56A7359D"/>
    <w:rsid w:val="56B55774"/>
    <w:rsid w:val="56B91708"/>
    <w:rsid w:val="56C37E91"/>
    <w:rsid w:val="56CA08AD"/>
    <w:rsid w:val="56D06888"/>
    <w:rsid w:val="56D42B26"/>
    <w:rsid w:val="56DB78D0"/>
    <w:rsid w:val="56E9366F"/>
    <w:rsid w:val="56FB3ACE"/>
    <w:rsid w:val="570D735E"/>
    <w:rsid w:val="571406EC"/>
    <w:rsid w:val="574B46EF"/>
    <w:rsid w:val="574D079D"/>
    <w:rsid w:val="577657F7"/>
    <w:rsid w:val="577C53C6"/>
    <w:rsid w:val="579B0E0D"/>
    <w:rsid w:val="57AB7EDF"/>
    <w:rsid w:val="57B0172E"/>
    <w:rsid w:val="57BA6F32"/>
    <w:rsid w:val="57D069DF"/>
    <w:rsid w:val="57D52571"/>
    <w:rsid w:val="580678E8"/>
    <w:rsid w:val="5814471C"/>
    <w:rsid w:val="581B5AAA"/>
    <w:rsid w:val="58240E03"/>
    <w:rsid w:val="582A2890"/>
    <w:rsid w:val="58371C2E"/>
    <w:rsid w:val="58445001"/>
    <w:rsid w:val="584C2108"/>
    <w:rsid w:val="585F6181"/>
    <w:rsid w:val="58B946D9"/>
    <w:rsid w:val="58BA2012"/>
    <w:rsid w:val="58DD6B22"/>
    <w:rsid w:val="58FE5674"/>
    <w:rsid w:val="59047B9E"/>
    <w:rsid w:val="590649AC"/>
    <w:rsid w:val="590A2031"/>
    <w:rsid w:val="590E763B"/>
    <w:rsid w:val="5916117D"/>
    <w:rsid w:val="591E1547"/>
    <w:rsid w:val="5920701C"/>
    <w:rsid w:val="592A2449"/>
    <w:rsid w:val="593A71C8"/>
    <w:rsid w:val="594828CF"/>
    <w:rsid w:val="594C48BE"/>
    <w:rsid w:val="5957587D"/>
    <w:rsid w:val="598D4786"/>
    <w:rsid w:val="59C208D3"/>
    <w:rsid w:val="59CB413F"/>
    <w:rsid w:val="59D93034"/>
    <w:rsid w:val="59EE16C8"/>
    <w:rsid w:val="59EF53F5"/>
    <w:rsid w:val="5A245BBE"/>
    <w:rsid w:val="5A2F17C9"/>
    <w:rsid w:val="5A4412E8"/>
    <w:rsid w:val="5A5D05FC"/>
    <w:rsid w:val="5A663ED2"/>
    <w:rsid w:val="5A69728D"/>
    <w:rsid w:val="5A7B5348"/>
    <w:rsid w:val="5A7E69AD"/>
    <w:rsid w:val="5A8E07B6"/>
    <w:rsid w:val="5AA158DB"/>
    <w:rsid w:val="5AB30902"/>
    <w:rsid w:val="5AB316D6"/>
    <w:rsid w:val="5AE2054A"/>
    <w:rsid w:val="5B2C65DE"/>
    <w:rsid w:val="5B435A44"/>
    <w:rsid w:val="5B4D6DD4"/>
    <w:rsid w:val="5B612FA9"/>
    <w:rsid w:val="5B64461D"/>
    <w:rsid w:val="5B6B6D49"/>
    <w:rsid w:val="5B8F2A37"/>
    <w:rsid w:val="5B957281"/>
    <w:rsid w:val="5B9D7BBE"/>
    <w:rsid w:val="5BCA1CC1"/>
    <w:rsid w:val="5BE81804"/>
    <w:rsid w:val="5BF46D3E"/>
    <w:rsid w:val="5C007491"/>
    <w:rsid w:val="5C194DF9"/>
    <w:rsid w:val="5C3460CC"/>
    <w:rsid w:val="5C3767EF"/>
    <w:rsid w:val="5C83426E"/>
    <w:rsid w:val="5C8A31FF"/>
    <w:rsid w:val="5C963557"/>
    <w:rsid w:val="5C9A55F9"/>
    <w:rsid w:val="5CAB1AF3"/>
    <w:rsid w:val="5CB8178D"/>
    <w:rsid w:val="5CD57AD6"/>
    <w:rsid w:val="5CE267E8"/>
    <w:rsid w:val="5D1C654D"/>
    <w:rsid w:val="5D3178B7"/>
    <w:rsid w:val="5D6677C8"/>
    <w:rsid w:val="5D6B2195"/>
    <w:rsid w:val="5D7C4321"/>
    <w:rsid w:val="5D80479D"/>
    <w:rsid w:val="5D813C93"/>
    <w:rsid w:val="5D921A7B"/>
    <w:rsid w:val="5D9F0B2F"/>
    <w:rsid w:val="5D9F0F2C"/>
    <w:rsid w:val="5DA35D82"/>
    <w:rsid w:val="5DA73F1B"/>
    <w:rsid w:val="5DB96DA5"/>
    <w:rsid w:val="5DBB29F5"/>
    <w:rsid w:val="5DD0331A"/>
    <w:rsid w:val="5DD86A75"/>
    <w:rsid w:val="5DE84681"/>
    <w:rsid w:val="5DFE20F6"/>
    <w:rsid w:val="5E0E77A2"/>
    <w:rsid w:val="5E1A3B47"/>
    <w:rsid w:val="5E1B4A56"/>
    <w:rsid w:val="5E1F4BDE"/>
    <w:rsid w:val="5E337FF2"/>
    <w:rsid w:val="5E4915C3"/>
    <w:rsid w:val="5E6B0216"/>
    <w:rsid w:val="5E785A05"/>
    <w:rsid w:val="5E7F5A64"/>
    <w:rsid w:val="5E99597B"/>
    <w:rsid w:val="5EC40C4A"/>
    <w:rsid w:val="5ECA3D86"/>
    <w:rsid w:val="5ED374EF"/>
    <w:rsid w:val="5EE341E5"/>
    <w:rsid w:val="5EE72B8A"/>
    <w:rsid w:val="5EE74938"/>
    <w:rsid w:val="5F1078F1"/>
    <w:rsid w:val="5F693830"/>
    <w:rsid w:val="5F773F0E"/>
    <w:rsid w:val="5F8E1258"/>
    <w:rsid w:val="5FC714A3"/>
    <w:rsid w:val="5FD96977"/>
    <w:rsid w:val="5FF7429A"/>
    <w:rsid w:val="60004950"/>
    <w:rsid w:val="6015397A"/>
    <w:rsid w:val="601975C1"/>
    <w:rsid w:val="603067B8"/>
    <w:rsid w:val="60393B50"/>
    <w:rsid w:val="604A3B1B"/>
    <w:rsid w:val="604C0869"/>
    <w:rsid w:val="60600A87"/>
    <w:rsid w:val="60624BBE"/>
    <w:rsid w:val="60634492"/>
    <w:rsid w:val="60870181"/>
    <w:rsid w:val="609B53AC"/>
    <w:rsid w:val="60AE34CC"/>
    <w:rsid w:val="60C72211"/>
    <w:rsid w:val="60DF620F"/>
    <w:rsid w:val="60E06EAF"/>
    <w:rsid w:val="612F1524"/>
    <w:rsid w:val="613D5518"/>
    <w:rsid w:val="614A6C4C"/>
    <w:rsid w:val="614C4F26"/>
    <w:rsid w:val="6183303E"/>
    <w:rsid w:val="619B7CD4"/>
    <w:rsid w:val="61B46EB0"/>
    <w:rsid w:val="61B56F70"/>
    <w:rsid w:val="61B57352"/>
    <w:rsid w:val="61B74A96"/>
    <w:rsid w:val="61BA6334"/>
    <w:rsid w:val="61C946A8"/>
    <w:rsid w:val="61CA4B76"/>
    <w:rsid w:val="61D513C0"/>
    <w:rsid w:val="61DB5E2D"/>
    <w:rsid w:val="61E132F7"/>
    <w:rsid w:val="623A555D"/>
    <w:rsid w:val="62404A8B"/>
    <w:rsid w:val="627A27BA"/>
    <w:rsid w:val="6280757E"/>
    <w:rsid w:val="629528DB"/>
    <w:rsid w:val="6299457C"/>
    <w:rsid w:val="62C236F2"/>
    <w:rsid w:val="62CE7635"/>
    <w:rsid w:val="62DD761B"/>
    <w:rsid w:val="62EE2198"/>
    <w:rsid w:val="62F045A5"/>
    <w:rsid w:val="62F31AFE"/>
    <w:rsid w:val="62F523AF"/>
    <w:rsid w:val="63066073"/>
    <w:rsid w:val="6322662C"/>
    <w:rsid w:val="633345F0"/>
    <w:rsid w:val="636724EC"/>
    <w:rsid w:val="636A66D9"/>
    <w:rsid w:val="63AA396D"/>
    <w:rsid w:val="63B0316D"/>
    <w:rsid w:val="63B70D7D"/>
    <w:rsid w:val="63B75221"/>
    <w:rsid w:val="63BE2935"/>
    <w:rsid w:val="63EA74CB"/>
    <w:rsid w:val="640059F7"/>
    <w:rsid w:val="6417181C"/>
    <w:rsid w:val="642860AB"/>
    <w:rsid w:val="642E78D8"/>
    <w:rsid w:val="64326AE4"/>
    <w:rsid w:val="64334593"/>
    <w:rsid w:val="64346872"/>
    <w:rsid w:val="6442518A"/>
    <w:rsid w:val="645C2560"/>
    <w:rsid w:val="64671CBF"/>
    <w:rsid w:val="64675EB1"/>
    <w:rsid w:val="64874BF3"/>
    <w:rsid w:val="648B780F"/>
    <w:rsid w:val="64A31301"/>
    <w:rsid w:val="64A34965"/>
    <w:rsid w:val="64C0654B"/>
    <w:rsid w:val="65077A96"/>
    <w:rsid w:val="651144BD"/>
    <w:rsid w:val="65363F24"/>
    <w:rsid w:val="654B358C"/>
    <w:rsid w:val="655D109B"/>
    <w:rsid w:val="656102E6"/>
    <w:rsid w:val="65677542"/>
    <w:rsid w:val="65856C59"/>
    <w:rsid w:val="658A290A"/>
    <w:rsid w:val="659E230B"/>
    <w:rsid w:val="65DD6690"/>
    <w:rsid w:val="65E45A25"/>
    <w:rsid w:val="65F35787"/>
    <w:rsid w:val="66046B2F"/>
    <w:rsid w:val="662E2EBE"/>
    <w:rsid w:val="665A5AA7"/>
    <w:rsid w:val="665F2CF8"/>
    <w:rsid w:val="66636F9A"/>
    <w:rsid w:val="666519A7"/>
    <w:rsid w:val="66746652"/>
    <w:rsid w:val="667473F9"/>
    <w:rsid w:val="667D39FA"/>
    <w:rsid w:val="66860EDB"/>
    <w:rsid w:val="66911D59"/>
    <w:rsid w:val="669435F8"/>
    <w:rsid w:val="66CB4FB9"/>
    <w:rsid w:val="66DF59F8"/>
    <w:rsid w:val="66F56E18"/>
    <w:rsid w:val="66FE6CC3"/>
    <w:rsid w:val="674346D8"/>
    <w:rsid w:val="6744785D"/>
    <w:rsid w:val="674956B6"/>
    <w:rsid w:val="6760797E"/>
    <w:rsid w:val="67691BA2"/>
    <w:rsid w:val="677866EA"/>
    <w:rsid w:val="677A0A3F"/>
    <w:rsid w:val="677D0530"/>
    <w:rsid w:val="677E1BB2"/>
    <w:rsid w:val="67966EFB"/>
    <w:rsid w:val="679D64DC"/>
    <w:rsid w:val="67B77E21"/>
    <w:rsid w:val="67D0240D"/>
    <w:rsid w:val="67E67E83"/>
    <w:rsid w:val="67EF3AFA"/>
    <w:rsid w:val="67EF76ED"/>
    <w:rsid w:val="67F51E74"/>
    <w:rsid w:val="67FD341E"/>
    <w:rsid w:val="682E35D8"/>
    <w:rsid w:val="682E5386"/>
    <w:rsid w:val="68356714"/>
    <w:rsid w:val="684953FB"/>
    <w:rsid w:val="684A70C8"/>
    <w:rsid w:val="684A710A"/>
    <w:rsid w:val="684E2925"/>
    <w:rsid w:val="685E210F"/>
    <w:rsid w:val="688346AE"/>
    <w:rsid w:val="688356D2"/>
    <w:rsid w:val="68910F96"/>
    <w:rsid w:val="68BB130F"/>
    <w:rsid w:val="693165AC"/>
    <w:rsid w:val="69361DB1"/>
    <w:rsid w:val="693B3BE7"/>
    <w:rsid w:val="69470DF5"/>
    <w:rsid w:val="694A692C"/>
    <w:rsid w:val="6953779A"/>
    <w:rsid w:val="695B21AB"/>
    <w:rsid w:val="696543AE"/>
    <w:rsid w:val="696B4939"/>
    <w:rsid w:val="69B2351F"/>
    <w:rsid w:val="69CC12FA"/>
    <w:rsid w:val="69EA352F"/>
    <w:rsid w:val="69F14CBF"/>
    <w:rsid w:val="6A0E7873"/>
    <w:rsid w:val="6A0F46F0"/>
    <w:rsid w:val="6A31115D"/>
    <w:rsid w:val="6A47567F"/>
    <w:rsid w:val="6A4F3C09"/>
    <w:rsid w:val="6A5C790C"/>
    <w:rsid w:val="6A5F1A2C"/>
    <w:rsid w:val="6A694D9B"/>
    <w:rsid w:val="6A6E23B2"/>
    <w:rsid w:val="6A731776"/>
    <w:rsid w:val="6AB37DC4"/>
    <w:rsid w:val="6AB83A97"/>
    <w:rsid w:val="6AFB3221"/>
    <w:rsid w:val="6B32518D"/>
    <w:rsid w:val="6B3550C4"/>
    <w:rsid w:val="6B80314F"/>
    <w:rsid w:val="6B8542CF"/>
    <w:rsid w:val="6B930322"/>
    <w:rsid w:val="6BB33C3E"/>
    <w:rsid w:val="6BC404DB"/>
    <w:rsid w:val="6BD65B4B"/>
    <w:rsid w:val="6BE04BE9"/>
    <w:rsid w:val="6BF27AD3"/>
    <w:rsid w:val="6BF646C4"/>
    <w:rsid w:val="6C182574"/>
    <w:rsid w:val="6C2668B6"/>
    <w:rsid w:val="6C2932DE"/>
    <w:rsid w:val="6C4C58BF"/>
    <w:rsid w:val="6C554F5B"/>
    <w:rsid w:val="6C7070E8"/>
    <w:rsid w:val="6C7C7008"/>
    <w:rsid w:val="6C8D1BCB"/>
    <w:rsid w:val="6CA67038"/>
    <w:rsid w:val="6CB70E05"/>
    <w:rsid w:val="6CD05620"/>
    <w:rsid w:val="6CD504C6"/>
    <w:rsid w:val="6CE16E6B"/>
    <w:rsid w:val="6CE62653"/>
    <w:rsid w:val="6CFF5543"/>
    <w:rsid w:val="6D035033"/>
    <w:rsid w:val="6D05526D"/>
    <w:rsid w:val="6D062D75"/>
    <w:rsid w:val="6D173F41"/>
    <w:rsid w:val="6D1A3155"/>
    <w:rsid w:val="6D5334A9"/>
    <w:rsid w:val="6D53358B"/>
    <w:rsid w:val="6D5C74DE"/>
    <w:rsid w:val="6D631F76"/>
    <w:rsid w:val="6D662683"/>
    <w:rsid w:val="6D800432"/>
    <w:rsid w:val="6D8F4B19"/>
    <w:rsid w:val="6D8F68C7"/>
    <w:rsid w:val="6D912918"/>
    <w:rsid w:val="6D9143ED"/>
    <w:rsid w:val="6D9D7236"/>
    <w:rsid w:val="6DC26C9C"/>
    <w:rsid w:val="6DD565B5"/>
    <w:rsid w:val="6E0117FB"/>
    <w:rsid w:val="6E103E73"/>
    <w:rsid w:val="6E1F616A"/>
    <w:rsid w:val="6E35746E"/>
    <w:rsid w:val="6E4B1753"/>
    <w:rsid w:val="6E54533C"/>
    <w:rsid w:val="6E6C6C08"/>
    <w:rsid w:val="6E6D5397"/>
    <w:rsid w:val="6E885335"/>
    <w:rsid w:val="6E9A354C"/>
    <w:rsid w:val="6EEE01FE"/>
    <w:rsid w:val="6F1352D6"/>
    <w:rsid w:val="6F3040D9"/>
    <w:rsid w:val="6F352693"/>
    <w:rsid w:val="6F3F61FA"/>
    <w:rsid w:val="6F42460E"/>
    <w:rsid w:val="6F656540"/>
    <w:rsid w:val="6F660B59"/>
    <w:rsid w:val="6F673C6E"/>
    <w:rsid w:val="6F8F49A6"/>
    <w:rsid w:val="6FC9588C"/>
    <w:rsid w:val="6FCA62DC"/>
    <w:rsid w:val="6FE103F7"/>
    <w:rsid w:val="6FE1568E"/>
    <w:rsid w:val="6FE4739E"/>
    <w:rsid w:val="6FFC592A"/>
    <w:rsid w:val="6FFD045F"/>
    <w:rsid w:val="702A7288"/>
    <w:rsid w:val="703025E3"/>
    <w:rsid w:val="703539AB"/>
    <w:rsid w:val="7058279E"/>
    <w:rsid w:val="707A1AB0"/>
    <w:rsid w:val="708951CA"/>
    <w:rsid w:val="70A859CD"/>
    <w:rsid w:val="70AD3C34"/>
    <w:rsid w:val="70C4151D"/>
    <w:rsid w:val="70CD59C6"/>
    <w:rsid w:val="70DC62C7"/>
    <w:rsid w:val="70EA7D4E"/>
    <w:rsid w:val="70F353BF"/>
    <w:rsid w:val="710860DE"/>
    <w:rsid w:val="7149181B"/>
    <w:rsid w:val="715803D4"/>
    <w:rsid w:val="71663745"/>
    <w:rsid w:val="71706A0F"/>
    <w:rsid w:val="718229EA"/>
    <w:rsid w:val="718404F9"/>
    <w:rsid w:val="71960AB0"/>
    <w:rsid w:val="71A66E54"/>
    <w:rsid w:val="71C50B09"/>
    <w:rsid w:val="71D23226"/>
    <w:rsid w:val="71F15DA2"/>
    <w:rsid w:val="720C6738"/>
    <w:rsid w:val="720D15DD"/>
    <w:rsid w:val="722F68CA"/>
    <w:rsid w:val="72345C8F"/>
    <w:rsid w:val="723C1A89"/>
    <w:rsid w:val="724F0D1A"/>
    <w:rsid w:val="726447C6"/>
    <w:rsid w:val="72683C02"/>
    <w:rsid w:val="726B5B54"/>
    <w:rsid w:val="729D3834"/>
    <w:rsid w:val="72C2329A"/>
    <w:rsid w:val="72D94F0F"/>
    <w:rsid w:val="72DA6836"/>
    <w:rsid w:val="72E17BC5"/>
    <w:rsid w:val="72E63972"/>
    <w:rsid w:val="72E86A81"/>
    <w:rsid w:val="73305A58"/>
    <w:rsid w:val="733F2220"/>
    <w:rsid w:val="733F2B3D"/>
    <w:rsid w:val="734104FD"/>
    <w:rsid w:val="734F1A42"/>
    <w:rsid w:val="735D7B47"/>
    <w:rsid w:val="73655314"/>
    <w:rsid w:val="736B4FCA"/>
    <w:rsid w:val="73724CC1"/>
    <w:rsid w:val="737870B3"/>
    <w:rsid w:val="737A5923"/>
    <w:rsid w:val="737E3665"/>
    <w:rsid w:val="738C2F08"/>
    <w:rsid w:val="73AC43D6"/>
    <w:rsid w:val="73B726D3"/>
    <w:rsid w:val="73B90FB4"/>
    <w:rsid w:val="73C148CD"/>
    <w:rsid w:val="73D6529B"/>
    <w:rsid w:val="7439758C"/>
    <w:rsid w:val="74424693"/>
    <w:rsid w:val="745D34AB"/>
    <w:rsid w:val="746F1200"/>
    <w:rsid w:val="74F02341"/>
    <w:rsid w:val="74F96F9A"/>
    <w:rsid w:val="74FF07D6"/>
    <w:rsid w:val="75172572"/>
    <w:rsid w:val="75262533"/>
    <w:rsid w:val="75271ADB"/>
    <w:rsid w:val="752E2E69"/>
    <w:rsid w:val="7533692A"/>
    <w:rsid w:val="75504B8E"/>
    <w:rsid w:val="757A60AE"/>
    <w:rsid w:val="75892893"/>
    <w:rsid w:val="75932CCC"/>
    <w:rsid w:val="759C4277"/>
    <w:rsid w:val="75BE07C8"/>
    <w:rsid w:val="75C26260"/>
    <w:rsid w:val="75DA4C79"/>
    <w:rsid w:val="75E1612D"/>
    <w:rsid w:val="760408D2"/>
    <w:rsid w:val="760F67F7"/>
    <w:rsid w:val="76283D09"/>
    <w:rsid w:val="762A2E92"/>
    <w:rsid w:val="762F1E35"/>
    <w:rsid w:val="764770E9"/>
    <w:rsid w:val="765468FF"/>
    <w:rsid w:val="76591577"/>
    <w:rsid w:val="766A7ED1"/>
    <w:rsid w:val="76AE501D"/>
    <w:rsid w:val="76BB6C3F"/>
    <w:rsid w:val="76D31F1A"/>
    <w:rsid w:val="76F0487A"/>
    <w:rsid w:val="77045958"/>
    <w:rsid w:val="77352DB4"/>
    <w:rsid w:val="773B7FF6"/>
    <w:rsid w:val="774150D6"/>
    <w:rsid w:val="77567ECC"/>
    <w:rsid w:val="77664B3C"/>
    <w:rsid w:val="77A660A1"/>
    <w:rsid w:val="77B838F5"/>
    <w:rsid w:val="77BF49E6"/>
    <w:rsid w:val="77D311C4"/>
    <w:rsid w:val="77D55602"/>
    <w:rsid w:val="77DA2862"/>
    <w:rsid w:val="78184DFC"/>
    <w:rsid w:val="781B3C20"/>
    <w:rsid w:val="78257C27"/>
    <w:rsid w:val="78333D23"/>
    <w:rsid w:val="78363546"/>
    <w:rsid w:val="78432CBF"/>
    <w:rsid w:val="78487A16"/>
    <w:rsid w:val="788A5EE0"/>
    <w:rsid w:val="78902FF8"/>
    <w:rsid w:val="78B16B44"/>
    <w:rsid w:val="78B92171"/>
    <w:rsid w:val="78BD69DE"/>
    <w:rsid w:val="78CE0BEB"/>
    <w:rsid w:val="78E270C8"/>
    <w:rsid w:val="78FB28B0"/>
    <w:rsid w:val="79025397"/>
    <w:rsid w:val="790A599B"/>
    <w:rsid w:val="791663CC"/>
    <w:rsid w:val="792A3948"/>
    <w:rsid w:val="793318D9"/>
    <w:rsid w:val="79445697"/>
    <w:rsid w:val="79537342"/>
    <w:rsid w:val="79627B5A"/>
    <w:rsid w:val="797E2094"/>
    <w:rsid w:val="79BA6C6F"/>
    <w:rsid w:val="79CC3F8E"/>
    <w:rsid w:val="79D35D8D"/>
    <w:rsid w:val="79F75F20"/>
    <w:rsid w:val="7A0F2D07"/>
    <w:rsid w:val="7A11316E"/>
    <w:rsid w:val="7A17211E"/>
    <w:rsid w:val="7A246776"/>
    <w:rsid w:val="7A297F44"/>
    <w:rsid w:val="7A6E7C40"/>
    <w:rsid w:val="7A6F4642"/>
    <w:rsid w:val="7A74264E"/>
    <w:rsid w:val="7AAB2866"/>
    <w:rsid w:val="7AC758F2"/>
    <w:rsid w:val="7ACE4ED2"/>
    <w:rsid w:val="7AE244DA"/>
    <w:rsid w:val="7B311E68"/>
    <w:rsid w:val="7B31720F"/>
    <w:rsid w:val="7B407452"/>
    <w:rsid w:val="7B5238FF"/>
    <w:rsid w:val="7B543D46"/>
    <w:rsid w:val="7B624E6D"/>
    <w:rsid w:val="7B890DF9"/>
    <w:rsid w:val="7B9179D5"/>
    <w:rsid w:val="7BA23C69"/>
    <w:rsid w:val="7BA56663"/>
    <w:rsid w:val="7BC57958"/>
    <w:rsid w:val="7BC72F92"/>
    <w:rsid w:val="7BF73FB5"/>
    <w:rsid w:val="7C2F5925"/>
    <w:rsid w:val="7C3945CD"/>
    <w:rsid w:val="7C3A20F4"/>
    <w:rsid w:val="7C4371FA"/>
    <w:rsid w:val="7C4D64BB"/>
    <w:rsid w:val="7C567ADB"/>
    <w:rsid w:val="7C5D37D3"/>
    <w:rsid w:val="7C6F6241"/>
    <w:rsid w:val="7C7A2E34"/>
    <w:rsid w:val="7CAE0CAF"/>
    <w:rsid w:val="7CB809FC"/>
    <w:rsid w:val="7CBA2B39"/>
    <w:rsid w:val="7CBD5B9C"/>
    <w:rsid w:val="7CCF5376"/>
    <w:rsid w:val="7CD95DB0"/>
    <w:rsid w:val="7CE3078D"/>
    <w:rsid w:val="7CE67FD7"/>
    <w:rsid w:val="7D00333D"/>
    <w:rsid w:val="7D4522D7"/>
    <w:rsid w:val="7D5C3E68"/>
    <w:rsid w:val="7D9450E2"/>
    <w:rsid w:val="7DA95783"/>
    <w:rsid w:val="7DAC798F"/>
    <w:rsid w:val="7DAE0FEB"/>
    <w:rsid w:val="7DBD4D8A"/>
    <w:rsid w:val="7DD91623"/>
    <w:rsid w:val="7DEF5FD1"/>
    <w:rsid w:val="7E0230E5"/>
    <w:rsid w:val="7E1C723D"/>
    <w:rsid w:val="7E1E6B84"/>
    <w:rsid w:val="7E446ED7"/>
    <w:rsid w:val="7E463247"/>
    <w:rsid w:val="7E48115D"/>
    <w:rsid w:val="7E505BFE"/>
    <w:rsid w:val="7E6C0B74"/>
    <w:rsid w:val="7E7D3018"/>
    <w:rsid w:val="7E8309F6"/>
    <w:rsid w:val="7E8949BD"/>
    <w:rsid w:val="7EA43773"/>
    <w:rsid w:val="7EC37AAF"/>
    <w:rsid w:val="7ED92098"/>
    <w:rsid w:val="7EFC18E2"/>
    <w:rsid w:val="7F000952"/>
    <w:rsid w:val="7F160BF6"/>
    <w:rsid w:val="7F1B445E"/>
    <w:rsid w:val="7F345520"/>
    <w:rsid w:val="7F4C0ABC"/>
    <w:rsid w:val="7F54171E"/>
    <w:rsid w:val="7F54583E"/>
    <w:rsid w:val="7F59036F"/>
    <w:rsid w:val="7F76060C"/>
    <w:rsid w:val="7F7818B1"/>
    <w:rsid w:val="7F783412"/>
    <w:rsid w:val="7F87291C"/>
    <w:rsid w:val="7F877E00"/>
    <w:rsid w:val="7F9410DC"/>
    <w:rsid w:val="7F947D6D"/>
    <w:rsid w:val="7FA25103"/>
    <w:rsid w:val="7FA44454"/>
    <w:rsid w:val="7FDD1714"/>
    <w:rsid w:val="7FEA5BDF"/>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2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paragraph" w:styleId="14">
    <w:name w:val="List Paragraph"/>
    <w:basedOn w:val="1"/>
    <w:qFormat/>
    <w:uiPriority w:val="34"/>
    <w:pPr>
      <w:ind w:firstLine="420" w:firstLineChars="200"/>
    </w:pPr>
  </w:style>
  <w:style w:type="character" w:customStyle="1" w:styleId="15">
    <w:name w:val="段 Char"/>
    <w:basedOn w:val="10"/>
    <w:link w:val="16"/>
    <w:qFormat/>
    <w:uiPriority w:val="0"/>
    <w:rPr>
      <w:rFonts w:hint="eastAsia" w:ascii="宋体" w:hAnsi="宋体" w:eastAsia="宋体" w:cs="宋体"/>
      <w:sz w:val="21"/>
    </w:rPr>
  </w:style>
  <w:style w:type="paragraph" w:customStyle="1" w:styleId="16">
    <w:name w:val="段"/>
    <w:basedOn w:val="1"/>
    <w:link w:val="15"/>
    <w:qFormat/>
    <w:uiPriority w:val="0"/>
    <w:pPr>
      <w:widowControl/>
      <w:tabs>
        <w:tab w:val="center" w:pos="4201"/>
        <w:tab w:val="right" w:leader="dot" w:pos="9298"/>
      </w:tabs>
      <w:autoSpaceDE w:val="0"/>
      <w:autoSpaceDN w:val="0"/>
      <w:ind w:firstLine="420" w:firstLineChars="200"/>
    </w:pPr>
    <w:rPr>
      <w:rFonts w:hint="eastAsia" w:ascii="宋体"/>
      <w:kern w:val="0"/>
      <w:szCs w:val="20"/>
    </w:rPr>
  </w:style>
  <w:style w:type="paragraph" w:customStyle="1" w:styleId="17">
    <w:name w:val="章标题"/>
    <w:basedOn w:val="1"/>
    <w:qFormat/>
    <w:uiPriority w:val="0"/>
    <w:pPr>
      <w:numPr>
        <w:ilvl w:val="0"/>
        <w:numId w:val="1"/>
      </w:numPr>
    </w:pPr>
  </w:style>
  <w:style w:type="paragraph" w:customStyle="1" w:styleId="18">
    <w:name w:val="一级条标题"/>
    <w:basedOn w:val="1"/>
    <w:next w:val="1"/>
    <w:qFormat/>
    <w:uiPriority w:val="0"/>
    <w:pPr>
      <w:widowControl/>
      <w:numPr>
        <w:ilvl w:val="1"/>
        <w:numId w:val="2"/>
      </w:numPr>
      <w:spacing w:before="156" w:beforeLines="50" w:after="156" w:afterLines="50"/>
      <w:jc w:val="left"/>
      <w:outlineLvl w:val="2"/>
    </w:pPr>
    <w:rPr>
      <w:rFonts w:hint="eastAsia" w:ascii="黑体" w:eastAsia="黑体"/>
      <w:kern w:val="0"/>
      <w:szCs w:val="21"/>
    </w:rPr>
  </w:style>
  <w:style w:type="paragraph" w:customStyle="1" w:styleId="19">
    <w:name w:val="_Style 14"/>
    <w:basedOn w:val="1"/>
    <w:next w:val="1"/>
    <w:qFormat/>
    <w:uiPriority w:val="0"/>
    <w:pPr>
      <w:pBdr>
        <w:bottom w:val="single" w:color="auto" w:sz="6" w:space="1"/>
      </w:pBdr>
      <w:jc w:val="center"/>
    </w:pPr>
    <w:rPr>
      <w:rFonts w:ascii="Arial"/>
      <w:vanish/>
      <w:sz w:val="16"/>
    </w:rPr>
  </w:style>
  <w:style w:type="paragraph" w:customStyle="1" w:styleId="20">
    <w:name w:val="_Style 15"/>
    <w:basedOn w:val="1"/>
    <w:next w:val="1"/>
    <w:qFormat/>
    <w:uiPriority w:val="0"/>
    <w:pPr>
      <w:pBdr>
        <w:top w:val="single" w:color="auto" w:sz="6" w:space="1"/>
      </w:pBdr>
      <w:jc w:val="center"/>
    </w:pPr>
    <w:rPr>
      <w:rFonts w:ascii="Arial"/>
      <w:vanish/>
      <w:sz w:val="16"/>
    </w:rPr>
  </w:style>
  <w:style w:type="paragraph" w:customStyle="1" w:styleId="21">
    <w:name w:val="注：（正文）"/>
    <w:basedOn w:val="22"/>
    <w:next w:val="16"/>
    <w:qFormat/>
    <w:uiPriority w:val="0"/>
  </w:style>
  <w:style w:type="paragraph" w:customStyle="1" w:styleId="22">
    <w:name w:val="注："/>
    <w:next w:val="16"/>
    <w:qFormat/>
    <w:uiPriority w:val="0"/>
    <w:pPr>
      <w:widowControl w:val="0"/>
      <w:numPr>
        <w:ilvl w:val="0"/>
        <w:numId w:val="3"/>
      </w:numPr>
      <w:autoSpaceDE w:val="0"/>
      <w:autoSpaceDN w:val="0"/>
      <w:jc w:val="both"/>
    </w:pPr>
    <w:rPr>
      <w:rFonts w:ascii="宋体" w:hAnsi="Times New Roman" w:eastAsia="宋体" w:cs="Times New Roman"/>
      <w:sz w:val="18"/>
      <w:szCs w:val="18"/>
      <w:lang w:val="en-US" w:eastAsia="zh-CN" w:bidi="ar-SA"/>
    </w:rPr>
  </w:style>
  <w:style w:type="character" w:customStyle="1" w:styleId="23">
    <w:name w:val="批注框文本 字符"/>
    <w:basedOn w:val="10"/>
    <w:link w:val="4"/>
    <w:qFormat/>
    <w:uiPriority w:val="0"/>
    <w:rPr>
      <w:kern w:val="2"/>
      <w:sz w:val="18"/>
      <w:szCs w:val="18"/>
    </w:rPr>
  </w:style>
  <w:style w:type="paragraph" w:customStyle="1" w:styleId="24">
    <w:name w:val="注×：（正文）"/>
    <w:qFormat/>
    <w:uiPriority w:val="0"/>
    <w:pPr>
      <w:numPr>
        <w:ilvl w:val="0"/>
        <w:numId w:val="4"/>
      </w:numPr>
      <w:jc w:val="both"/>
    </w:pPr>
    <w:rPr>
      <w:rFonts w:ascii="宋体" w:hAnsi="Times New Roman" w:eastAsia="宋体" w:cs="Times New Roman"/>
      <w:sz w:val="18"/>
      <w:szCs w:val="18"/>
      <w:lang w:val="en-US" w:eastAsia="zh-CN" w:bidi="ar-SA"/>
    </w:rPr>
  </w:style>
  <w:style w:type="paragraph" w:customStyle="1" w:styleId="25">
    <w:name w:val="列出段落2"/>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7">
    <w:name w:val="网格型1"/>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网格型2"/>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3"/>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标准文件_表格"/>
    <w:basedOn w:val="26"/>
    <w:qFormat/>
    <w:uiPriority w:val="0"/>
    <w:pPr>
      <w:ind w:firstLine="0" w:firstLineChars="0"/>
      <w:jc w:val="center"/>
    </w:pPr>
    <w:rPr>
      <w:sz w:val="18"/>
    </w:rPr>
  </w:style>
  <w:style w:type="paragraph" w:customStyle="1" w:styleId="31">
    <w:name w:val="标准文件_一级条标题"/>
    <w:basedOn w:val="32"/>
    <w:next w:val="26"/>
    <w:qFormat/>
    <w:uiPriority w:val="0"/>
    <w:pPr>
      <w:numPr>
        <w:ilvl w:val="2"/>
      </w:numPr>
      <w:spacing w:before="50" w:beforeLines="50" w:after="50" w:afterLines="50"/>
      <w:outlineLvl w:val="1"/>
    </w:pPr>
  </w:style>
  <w:style w:type="paragraph" w:customStyle="1" w:styleId="32">
    <w:name w:val="标准文件_章标题"/>
    <w:next w:val="26"/>
    <w:qFormat/>
    <w:uiPriority w:val="0"/>
    <w:pPr>
      <w:numPr>
        <w:ilvl w:val="1"/>
        <w:numId w:val="5"/>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3">
    <w:name w:val="标准文件_二级条标题"/>
    <w:next w:val="26"/>
    <w:qFormat/>
    <w:uiPriority w:val="0"/>
    <w:pPr>
      <w:widowControl w:val="0"/>
      <w:numPr>
        <w:ilvl w:val="3"/>
        <w:numId w:val="5"/>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35655a98-6c45-455b-9706-0a985b7bf5a8</errorID>
      <errorWord>亟需</errorWord>
      <group>L1_Word</group>
      <groupName>字词问题</groupName>
      <ability>L2_Typo</ability>
      <abilityName>字词错误</abilityName>
      <candidateList>
        <item>亟须</item>
      </candidateList>
      <explain>存在发音相同字词的误用。</explain>
      <paraID>639EB0B2</paraID>
      <start>3</start>
      <end>5</end>
      <status>unmodified</status>
      <modifiedWord/>
      <trackRevisions>false</trackRevisions>
    </reviewItem>
    <reviewItem>
      <errorID>92d1ea5b-59f8-4b54-aa73-4c8f3c74126d</errorID>
      <errorWord>，</errorWord>
      <group>L1_Word</group>
      <groupName>字词问题</groupName>
      <ability>L2_Typo</ability>
      <abilityName>字词错误</abilityName>
      <candidateList>
        <item>，由</item>
      </candidateList>
      <explain/>
      <paraID>694232FC</paraID>
      <start>108</start>
      <end>109</end>
      <status>unmodified</status>
      <modifiedWord/>
      <trackRevisions>false</trackRevisions>
    </reviewItem>
    <reviewItem>
      <errorID>775efa2c-9d27-4efa-9cef-4109febbb3d5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44B33A6B</paraID>
      <start>18</start>
      <end>19</end>
      <status>unmodified</status>
      <modifiedWord/>
      <trackRevisions>false</trackRevisions>
    </reviewItem>
    <reviewItem>
      <errorID>404b25ad-ceb5-4eac-9a87-2491bf1f38d5</errorID>
      <errorWord>《地理标志产品质量要求 雷岭荔枝》（征求意见稿）</errorWord>
      <group>L1_Knowledge</group>
      <groupName>知识性问题</groupName>
      <ability>L2_Knowledge</ability>
      <abilityName>其他知识</abilityName>
      <candidateList>
        <item>《地理标志产品质量要求 雷岭荔枝（征求意见稿）》</item>
      </candidateList>
      <explain>疑似政策文件、法律法规名称等书写不规范，请注意检查。</explain>
      <paraID> 45CCC75</paraID>
      <start>196</start>
      <end>220</end>
      <status>ignored</status>
      <modifiedWord/>
      <trackRevisions>false</trackRevisions>
    </reviewItem>
    <reviewItem>
      <errorID>27ece140-27aa-4989-81a7-d1564ba0c511</errorID>
      <errorWord>法律、法规</errorWord>
      <group>L1_Word</group>
      <groupName>字词问题</groupName>
      <ability>L2_Typo</ability>
      <abilityName>字词错误</abilityName>
      <candidateList>
        <item>法律法规</item>
      </candidateList>
      <explain/>
      <paraID>2D191D77</paraID>
      <start>7</start>
      <end>11</end>
      <status>modified</status>
      <modifiedWord>法律法规</modifiedWord>
      <trackRevisions>false</trackRevisions>
    </reviewItem>
    <reviewItem>
      <errorID>50c35c73-4b29-42bb-89a9-58b28ddb668d</errorID>
      <errorWord>法律、法规</errorWord>
      <group>L1_Word</group>
      <groupName>字词问题</groupName>
      <ability>L2_Typo</ability>
      <abilityName>字词错误</abilityName>
      <candidateList>
        <item>法律法规</item>
      </candidateList>
      <explain/>
      <paraID>5362EB80</paraID>
      <start>8</start>
      <end>12</end>
      <status>modified</status>
      <modifiedWord>法律法规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7c9a1-6e7d-4f3a-a7b2-ae33cd9fea97}">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11</Pages>
  <Words>5111</Words>
  <Characters>5442</Characters>
  <Lines>35</Lines>
  <Paragraphs>10</Paragraphs>
  <TotalTime>1</TotalTime>
  <ScaleCrop>false</ScaleCrop>
  <LinksUpToDate>false</LinksUpToDate>
  <CharactersWithSpaces>5493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红蝶翩翩</cp:lastModifiedBy>
  <cp:lastPrinted>2022-05-16T08:31:00Z</cp:lastPrinted>
  <dcterms:modified xsi:type="dcterms:W3CDTF">2026-09-01T03:52:37Z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CEDF1282FAED4F4FB38A2DD284E7B002_13</vt:lpwstr>
  </property>
  <property fmtid="{D5CDD505-2E9C-101B-9397-08002B2CF9AE}" pid="4" name="KSOTemplateDocerSaveRecord">
    <vt:lpwstr>eyJoZGlkIjoiOWFkNTViYWJkNzBmYmE3ZDI0MDQxM2M3NjRkNjZhMWEiLCJ1c2VySWQiOiI1NTQ3NTg1ODUifQ==</vt:lpwstr>
  </property>
</Properties>
</file>